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84355" w14:textId="77777777" w:rsidR="004951BA" w:rsidRDefault="00FA5FFD" w:rsidP="00FA5FFD">
      <w:pPr>
        <w:pStyle w:val="SEHeader"/>
      </w:pPr>
      <w:r>
        <w:t xml:space="preserve">Standard Directions </w:t>
      </w:r>
      <w:r w:rsidR="00713B5B">
        <w:t>for</w:t>
      </w:r>
      <w:r>
        <w:t xml:space="preserve"> Club Complaint Hearings</w:t>
      </w:r>
    </w:p>
    <w:p w14:paraId="31BBF836" w14:textId="77777777" w:rsidR="00FA5FFD" w:rsidRDefault="00FA5FFD" w:rsidP="00FA5FFD">
      <w:pPr>
        <w:pStyle w:val="SESubheaderintropara"/>
      </w:pPr>
      <w:r>
        <w:t>Introduction</w:t>
      </w:r>
    </w:p>
    <w:p w14:paraId="132DEB6A" w14:textId="77777777" w:rsidR="00FA5FFD" w:rsidRDefault="00FA5FFD" w:rsidP="00713B5B">
      <w:pPr>
        <w:pStyle w:val="SEBodytext"/>
        <w:jc w:val="both"/>
      </w:pPr>
      <w:r>
        <w:t xml:space="preserve">Under the Judicial Regulations, the Judicial Commissioner has the power to issue standard directions for Clubs to use during hearings for a Club Complaint. These directions have been issued to assist Clubs in resolving such matters and provide guidance on how </w:t>
      </w:r>
      <w:r w:rsidR="009A24EF">
        <w:t>hearings should take place.</w:t>
      </w:r>
    </w:p>
    <w:p w14:paraId="63ACF309" w14:textId="77777777" w:rsidR="00713B5B" w:rsidRDefault="00713B5B" w:rsidP="00713B5B">
      <w:pPr>
        <w:pStyle w:val="SEBodytext"/>
        <w:jc w:val="both"/>
      </w:pPr>
    </w:p>
    <w:p w14:paraId="7CF47C94" w14:textId="77777777" w:rsidR="00713B5B" w:rsidRDefault="00713B5B" w:rsidP="00713B5B">
      <w:pPr>
        <w:pStyle w:val="SEBodytext"/>
        <w:jc w:val="both"/>
      </w:pPr>
      <w:r>
        <w:t>The directions are contained within the following pages of this document.</w:t>
      </w:r>
    </w:p>
    <w:p w14:paraId="4A5C3193" w14:textId="77777777" w:rsidR="009A24EF" w:rsidRDefault="009A24EF" w:rsidP="00713B5B">
      <w:pPr>
        <w:pStyle w:val="SEBodytext"/>
        <w:jc w:val="both"/>
      </w:pPr>
    </w:p>
    <w:p w14:paraId="4DE6BF53" w14:textId="6C245E7A" w:rsidR="009A24EF" w:rsidRDefault="009A24EF" w:rsidP="00713B5B">
      <w:pPr>
        <w:pStyle w:val="SEBodytext"/>
        <w:jc w:val="both"/>
      </w:pPr>
      <w:r>
        <w:t xml:space="preserve">Club </w:t>
      </w:r>
      <w:r w:rsidR="008E52C2">
        <w:t>Complaint Panels</w:t>
      </w:r>
      <w:r>
        <w:t xml:space="preserve"> may issue these directions by informing the parties to a Club Complaint that these standard directions apply and providing a copy of such to them.</w:t>
      </w:r>
      <w:r w:rsidR="00203E47">
        <w:t xml:space="preserve"> Alternatively, you may add these directions into emails provided to the parties.</w:t>
      </w:r>
    </w:p>
    <w:p w14:paraId="2846B4B6" w14:textId="77777777" w:rsidR="00203E47" w:rsidRDefault="00203E47" w:rsidP="00713B5B">
      <w:pPr>
        <w:pStyle w:val="SEBodytext"/>
        <w:jc w:val="both"/>
      </w:pPr>
    </w:p>
    <w:p w14:paraId="3B8F70A0" w14:textId="26DF2450" w:rsidR="00713B5B" w:rsidRDefault="00203E47" w:rsidP="00713B5B">
      <w:pPr>
        <w:pStyle w:val="SEBodytext"/>
        <w:jc w:val="both"/>
      </w:pPr>
      <w:r>
        <w:t xml:space="preserve">These </w:t>
      </w:r>
      <w:r w:rsidR="00713B5B">
        <w:t xml:space="preserve">standard directions may be varied at the discretion of the Chair of the </w:t>
      </w:r>
      <w:r w:rsidR="008E52C2">
        <w:t>Club Complaint Panel</w:t>
      </w:r>
      <w:r w:rsidR="00713B5B">
        <w:t xml:space="preserve"> </w:t>
      </w:r>
      <w:proofErr w:type="gramStart"/>
      <w:r w:rsidR="00713B5B">
        <w:t>in order to</w:t>
      </w:r>
      <w:proofErr w:type="gramEnd"/>
      <w:r w:rsidR="00713B5B">
        <w:t xml:space="preserve"> ensure the smooth operation of the hearing while remaining timely and fair. Any variation of the standard directions must </w:t>
      </w:r>
      <w:r w:rsidR="00C55BFD">
        <w:t xml:space="preserve">not </w:t>
      </w:r>
      <w:r w:rsidR="00713B5B">
        <w:t>be applied in a way that benefits one party over another, and reasons for the variation must be explained to the parties.</w:t>
      </w:r>
    </w:p>
    <w:p w14:paraId="2F44CAB3" w14:textId="763BE3BA" w:rsidR="00F71E9D" w:rsidRDefault="00F71E9D" w:rsidP="00713B5B">
      <w:pPr>
        <w:pStyle w:val="SEBodytext"/>
        <w:jc w:val="both"/>
      </w:pPr>
    </w:p>
    <w:p w14:paraId="729C410A" w14:textId="31431052" w:rsidR="00F71E9D" w:rsidRDefault="00F71E9D" w:rsidP="00713B5B">
      <w:pPr>
        <w:pStyle w:val="SEBodytext"/>
        <w:jc w:val="both"/>
      </w:pPr>
      <w:r>
        <w:rPr>
          <w:rFonts w:cs="Arial"/>
        </w:rPr>
        <w:t>These standard directions may be updated</w:t>
      </w:r>
      <w:r w:rsidRPr="00001D90">
        <w:rPr>
          <w:rFonts w:cs="Arial"/>
        </w:rPr>
        <w:t xml:space="preserve"> from time to time and the parties should always ensure that they are using the latest version.</w:t>
      </w:r>
      <w:r>
        <w:rPr>
          <w:rFonts w:cs="Arial"/>
        </w:rPr>
        <w:t xml:space="preserve"> </w:t>
      </w:r>
      <w:r w:rsidRPr="00574367">
        <w:t xml:space="preserve">The current version will always be accessible directly from </w:t>
      </w:r>
      <w:hyperlink r:id="rId8" w:history="1">
        <w:r w:rsidRPr="00574367">
          <w:rPr>
            <w:rStyle w:val="Hyperlink"/>
          </w:rPr>
          <w:t>www.swimming.org</w:t>
        </w:r>
      </w:hyperlink>
      <w:r w:rsidRPr="00574367">
        <w:t>.</w:t>
      </w:r>
    </w:p>
    <w:p w14:paraId="08E0810C" w14:textId="77777777" w:rsidR="00713B5B" w:rsidRDefault="00713B5B">
      <w:pPr>
        <w:rPr>
          <w:color w:val="494949" w:themeColor="text1"/>
          <w:sz w:val="22"/>
          <w:lang w:val="en-US"/>
        </w:rPr>
      </w:pPr>
      <w:r>
        <w:br w:type="page"/>
      </w:r>
    </w:p>
    <w:p w14:paraId="27C35173" w14:textId="77777777" w:rsidR="00203E47" w:rsidRDefault="00713B5B" w:rsidP="00713B5B">
      <w:pPr>
        <w:pStyle w:val="SESubheaderintropara"/>
      </w:pPr>
      <w:r>
        <w:lastRenderedPageBreak/>
        <w:t>Directions</w:t>
      </w:r>
    </w:p>
    <w:p w14:paraId="0B186313" w14:textId="77777777" w:rsidR="00713B5B" w:rsidRDefault="00713B5B" w:rsidP="00713B5B">
      <w:pPr>
        <w:pStyle w:val="SEBodytext"/>
      </w:pPr>
    </w:p>
    <w:tbl>
      <w:tblPr>
        <w:tblStyle w:val="TableGrid"/>
        <w:tblW w:w="0" w:type="auto"/>
        <w:tblLook w:val="04A0" w:firstRow="1" w:lastRow="0" w:firstColumn="1" w:lastColumn="0" w:noHBand="0" w:noVBand="1"/>
      </w:tblPr>
      <w:tblGrid>
        <w:gridCol w:w="2972"/>
        <w:gridCol w:w="6038"/>
      </w:tblGrid>
      <w:tr w:rsidR="00713B5B" w14:paraId="18225558" w14:textId="77777777" w:rsidTr="00713B5B">
        <w:tc>
          <w:tcPr>
            <w:tcW w:w="2972" w:type="dxa"/>
            <w:shd w:val="clear" w:color="auto" w:fill="494949" w:themeFill="text1"/>
          </w:tcPr>
          <w:p w14:paraId="419D8F84" w14:textId="77777777" w:rsidR="00713B5B" w:rsidRDefault="00DC1BAE" w:rsidP="00713B5B">
            <w:pPr>
              <w:pStyle w:val="SEBodytext"/>
              <w:rPr>
                <w:b/>
                <w:color w:val="FFFFFF" w:themeColor="background1"/>
              </w:rPr>
            </w:pPr>
            <w:r>
              <w:rPr>
                <w:b/>
                <w:color w:val="FFFFFF" w:themeColor="background1"/>
              </w:rPr>
              <w:t>Complainant</w:t>
            </w:r>
            <w:r w:rsidR="00713B5B">
              <w:rPr>
                <w:b/>
                <w:color w:val="FFFFFF" w:themeColor="background1"/>
              </w:rPr>
              <w:t>:</w:t>
            </w:r>
          </w:p>
          <w:p w14:paraId="54979CF5" w14:textId="77777777" w:rsidR="00713B5B" w:rsidRPr="00713B5B" w:rsidRDefault="00713B5B" w:rsidP="00713B5B">
            <w:pPr>
              <w:pStyle w:val="SEBodytext"/>
              <w:rPr>
                <w:b/>
                <w:color w:val="FFFFFF" w:themeColor="background1"/>
              </w:rPr>
            </w:pPr>
          </w:p>
        </w:tc>
        <w:tc>
          <w:tcPr>
            <w:tcW w:w="6038" w:type="dxa"/>
          </w:tcPr>
          <w:p w14:paraId="576D5352" w14:textId="77777777" w:rsidR="00713B5B" w:rsidRDefault="00713B5B" w:rsidP="00713B5B">
            <w:pPr>
              <w:pStyle w:val="SEBodytext"/>
            </w:pPr>
          </w:p>
        </w:tc>
      </w:tr>
      <w:tr w:rsidR="00DC1BAE" w14:paraId="10D250E9" w14:textId="77777777" w:rsidTr="00713B5B">
        <w:tc>
          <w:tcPr>
            <w:tcW w:w="2972" w:type="dxa"/>
            <w:shd w:val="clear" w:color="auto" w:fill="494949" w:themeFill="text1"/>
          </w:tcPr>
          <w:p w14:paraId="7830E1AA" w14:textId="77777777" w:rsidR="00DC1BAE" w:rsidRDefault="00DC1BAE" w:rsidP="00713B5B">
            <w:pPr>
              <w:pStyle w:val="SEBodytext"/>
              <w:rPr>
                <w:b/>
                <w:color w:val="FFFFFF" w:themeColor="background1"/>
              </w:rPr>
            </w:pPr>
            <w:r>
              <w:rPr>
                <w:b/>
                <w:color w:val="FFFFFF" w:themeColor="background1"/>
              </w:rPr>
              <w:t>Respondent:</w:t>
            </w:r>
          </w:p>
          <w:p w14:paraId="064E28A7" w14:textId="77777777" w:rsidR="00DC1BAE" w:rsidRDefault="00DC1BAE" w:rsidP="00713B5B">
            <w:pPr>
              <w:pStyle w:val="SEBodytext"/>
              <w:rPr>
                <w:b/>
                <w:color w:val="FFFFFF" w:themeColor="background1"/>
              </w:rPr>
            </w:pPr>
          </w:p>
        </w:tc>
        <w:tc>
          <w:tcPr>
            <w:tcW w:w="6038" w:type="dxa"/>
          </w:tcPr>
          <w:p w14:paraId="7F7A45BD" w14:textId="77777777" w:rsidR="00DC1BAE" w:rsidRDefault="00DC1BAE" w:rsidP="00713B5B">
            <w:pPr>
              <w:pStyle w:val="SEBodytext"/>
            </w:pPr>
          </w:p>
        </w:tc>
      </w:tr>
      <w:tr w:rsidR="00713B5B" w14:paraId="1E0F48EB" w14:textId="77777777" w:rsidTr="00713B5B">
        <w:tc>
          <w:tcPr>
            <w:tcW w:w="2972" w:type="dxa"/>
            <w:shd w:val="clear" w:color="auto" w:fill="494949" w:themeFill="text1"/>
          </w:tcPr>
          <w:p w14:paraId="6F76A7D3" w14:textId="77777777" w:rsidR="00713B5B" w:rsidRDefault="00713B5B" w:rsidP="00713B5B">
            <w:pPr>
              <w:pStyle w:val="SEBodytext"/>
              <w:rPr>
                <w:b/>
                <w:color w:val="FFFFFF" w:themeColor="background1"/>
              </w:rPr>
            </w:pPr>
            <w:r>
              <w:rPr>
                <w:b/>
                <w:color w:val="FFFFFF" w:themeColor="background1"/>
              </w:rPr>
              <w:t>Date of Hearing:</w:t>
            </w:r>
          </w:p>
          <w:p w14:paraId="361137CC" w14:textId="77777777" w:rsidR="00713B5B" w:rsidRPr="00713B5B" w:rsidRDefault="00713B5B" w:rsidP="00713B5B">
            <w:pPr>
              <w:pStyle w:val="SEBodytext"/>
              <w:rPr>
                <w:b/>
                <w:color w:val="FFFFFF" w:themeColor="background1"/>
              </w:rPr>
            </w:pPr>
          </w:p>
        </w:tc>
        <w:tc>
          <w:tcPr>
            <w:tcW w:w="6038" w:type="dxa"/>
          </w:tcPr>
          <w:p w14:paraId="4D96678C" w14:textId="77777777" w:rsidR="00713B5B" w:rsidRDefault="00713B5B" w:rsidP="00713B5B">
            <w:pPr>
              <w:pStyle w:val="SEBodytext"/>
            </w:pPr>
          </w:p>
        </w:tc>
      </w:tr>
      <w:tr w:rsidR="00713B5B" w14:paraId="148FCF39" w14:textId="77777777" w:rsidTr="00713B5B">
        <w:tc>
          <w:tcPr>
            <w:tcW w:w="2972" w:type="dxa"/>
            <w:shd w:val="clear" w:color="auto" w:fill="494949" w:themeFill="text1"/>
          </w:tcPr>
          <w:p w14:paraId="4B6D17CB" w14:textId="77777777" w:rsidR="00713B5B" w:rsidRDefault="00713B5B" w:rsidP="00713B5B">
            <w:pPr>
              <w:pStyle w:val="SEBodytext"/>
              <w:rPr>
                <w:b/>
                <w:color w:val="FFFFFF" w:themeColor="background1"/>
              </w:rPr>
            </w:pPr>
            <w:r>
              <w:rPr>
                <w:b/>
                <w:color w:val="FFFFFF" w:themeColor="background1"/>
              </w:rPr>
              <w:t>Time of Hearing:</w:t>
            </w:r>
          </w:p>
          <w:p w14:paraId="333697F8" w14:textId="77777777" w:rsidR="00713B5B" w:rsidRPr="00713B5B" w:rsidRDefault="00713B5B" w:rsidP="00713B5B">
            <w:pPr>
              <w:pStyle w:val="SEBodytext"/>
              <w:rPr>
                <w:b/>
                <w:color w:val="FFFFFF" w:themeColor="background1"/>
              </w:rPr>
            </w:pPr>
          </w:p>
        </w:tc>
        <w:tc>
          <w:tcPr>
            <w:tcW w:w="6038" w:type="dxa"/>
          </w:tcPr>
          <w:p w14:paraId="5070DB09" w14:textId="77777777" w:rsidR="00713B5B" w:rsidRDefault="00713B5B" w:rsidP="00713B5B">
            <w:pPr>
              <w:pStyle w:val="SEBodytext"/>
            </w:pPr>
          </w:p>
        </w:tc>
      </w:tr>
      <w:tr w:rsidR="00713B5B" w14:paraId="3A3E4522" w14:textId="77777777" w:rsidTr="00713B5B">
        <w:tc>
          <w:tcPr>
            <w:tcW w:w="2972" w:type="dxa"/>
            <w:shd w:val="clear" w:color="auto" w:fill="494949" w:themeFill="text1"/>
          </w:tcPr>
          <w:p w14:paraId="6C0D8736" w14:textId="77777777" w:rsidR="00713B5B" w:rsidRDefault="00713B5B" w:rsidP="00713B5B">
            <w:pPr>
              <w:pStyle w:val="SEBodytext"/>
              <w:rPr>
                <w:b/>
                <w:color w:val="FFFFFF" w:themeColor="background1"/>
              </w:rPr>
            </w:pPr>
            <w:r>
              <w:rPr>
                <w:b/>
                <w:color w:val="FFFFFF" w:themeColor="background1"/>
              </w:rPr>
              <w:t>Format of Hearing:</w:t>
            </w:r>
          </w:p>
          <w:p w14:paraId="5E0903B9" w14:textId="77777777" w:rsidR="00713B5B" w:rsidRPr="00713B5B" w:rsidRDefault="00713B5B" w:rsidP="00713B5B">
            <w:pPr>
              <w:pStyle w:val="SEBodytext"/>
              <w:rPr>
                <w:b/>
                <w:color w:val="FFFFFF" w:themeColor="background1"/>
              </w:rPr>
            </w:pPr>
          </w:p>
        </w:tc>
        <w:tc>
          <w:tcPr>
            <w:tcW w:w="6038" w:type="dxa"/>
          </w:tcPr>
          <w:p w14:paraId="1AE0B9A2" w14:textId="29465418" w:rsidR="00713B5B" w:rsidRDefault="00713B5B" w:rsidP="00D34675">
            <w:pPr>
              <w:pStyle w:val="SEBodytext"/>
            </w:pPr>
            <w:r>
              <w:t>[</w:t>
            </w:r>
            <w:r w:rsidRPr="00C55BFD">
              <w:t>I</w:t>
            </w:r>
            <w:r w:rsidR="00C55BFD" w:rsidRPr="00C55BFD">
              <w:t>N PERSON</w:t>
            </w:r>
            <w:r w:rsidRPr="00C55BFD">
              <w:t xml:space="preserve">, </w:t>
            </w:r>
            <w:r w:rsidR="00D34675">
              <w:t>to be held at</w:t>
            </w:r>
            <w:r w:rsidRPr="00C55BFD">
              <w:t xml:space="preserve"> ADDRESS</w:t>
            </w:r>
            <w:r>
              <w:t>]/[</w:t>
            </w:r>
            <w:r w:rsidRPr="00C55BFD">
              <w:t>Z</w:t>
            </w:r>
            <w:r w:rsidR="00C55BFD" w:rsidRPr="00C55BFD">
              <w:t>OOM</w:t>
            </w:r>
            <w:r w:rsidRPr="00C55BFD">
              <w:t>]/[P</w:t>
            </w:r>
            <w:r w:rsidR="00C55BFD" w:rsidRPr="00C55BFD">
              <w:t>APER</w:t>
            </w:r>
            <w:r w:rsidRPr="00C55BFD">
              <w:t xml:space="preserve"> H</w:t>
            </w:r>
            <w:r w:rsidR="00C55BFD" w:rsidRPr="00C55BFD">
              <w:t>EARING</w:t>
            </w:r>
            <w:r>
              <w:t>]</w:t>
            </w:r>
          </w:p>
        </w:tc>
      </w:tr>
      <w:tr w:rsidR="00E30A6D" w14:paraId="2F78A5A8" w14:textId="77777777" w:rsidTr="00713B5B">
        <w:tc>
          <w:tcPr>
            <w:tcW w:w="2972" w:type="dxa"/>
            <w:shd w:val="clear" w:color="auto" w:fill="494949" w:themeFill="text1"/>
          </w:tcPr>
          <w:p w14:paraId="01EEF58F" w14:textId="6B191692" w:rsidR="00E30A6D" w:rsidRDefault="00E30A6D" w:rsidP="00713B5B">
            <w:pPr>
              <w:pStyle w:val="SEBodytext"/>
              <w:rPr>
                <w:b/>
                <w:color w:val="FFFFFF" w:themeColor="background1"/>
              </w:rPr>
            </w:pPr>
            <w:r>
              <w:rPr>
                <w:b/>
                <w:color w:val="FFFFFF" w:themeColor="background1"/>
              </w:rPr>
              <w:t xml:space="preserve">Club </w:t>
            </w:r>
            <w:r w:rsidR="008E52C2">
              <w:rPr>
                <w:b/>
                <w:color w:val="FFFFFF" w:themeColor="background1"/>
              </w:rPr>
              <w:t>Complaint Panel</w:t>
            </w:r>
            <w:r>
              <w:rPr>
                <w:b/>
                <w:color w:val="FFFFFF" w:themeColor="background1"/>
              </w:rPr>
              <w:t xml:space="preserve"> Members:</w:t>
            </w:r>
          </w:p>
          <w:p w14:paraId="474F1803" w14:textId="77777777" w:rsidR="00E30A6D" w:rsidRDefault="00E30A6D" w:rsidP="00713B5B">
            <w:pPr>
              <w:pStyle w:val="SEBodytext"/>
              <w:rPr>
                <w:b/>
                <w:color w:val="FFFFFF" w:themeColor="background1"/>
              </w:rPr>
            </w:pPr>
          </w:p>
        </w:tc>
        <w:tc>
          <w:tcPr>
            <w:tcW w:w="6038" w:type="dxa"/>
          </w:tcPr>
          <w:p w14:paraId="4058F340" w14:textId="5E999EB8" w:rsidR="00E30A6D" w:rsidRDefault="00E30A6D" w:rsidP="00713B5B">
            <w:pPr>
              <w:pStyle w:val="SEBodytext"/>
            </w:pPr>
            <w:r>
              <w:t xml:space="preserve">[NAME] </w:t>
            </w:r>
            <w:r w:rsidR="00D34675">
              <w:t>(</w:t>
            </w:r>
            <w:r>
              <w:t>C</w:t>
            </w:r>
            <w:r w:rsidR="00C55BFD">
              <w:t>HAIR</w:t>
            </w:r>
            <w:r w:rsidR="00D34675">
              <w:t>)</w:t>
            </w:r>
            <w:r>
              <w:t>, [NAME], and [NAME],</w:t>
            </w:r>
          </w:p>
        </w:tc>
      </w:tr>
    </w:tbl>
    <w:p w14:paraId="4277FBD7" w14:textId="77777777" w:rsidR="00713B5B" w:rsidRPr="00FA5FFD" w:rsidRDefault="00713B5B" w:rsidP="00713B5B">
      <w:pPr>
        <w:pStyle w:val="SEBodytext"/>
      </w:pPr>
    </w:p>
    <w:p w14:paraId="100550D5" w14:textId="3C83C9BD" w:rsidR="00713B5B" w:rsidRDefault="00713B5B" w:rsidP="00916DCC">
      <w:pPr>
        <w:pStyle w:val="SEBodytext"/>
        <w:jc w:val="both"/>
      </w:pPr>
      <w:r>
        <w:t xml:space="preserve">The Club </w:t>
      </w:r>
      <w:r w:rsidR="008E52C2">
        <w:t>Complaint Panel</w:t>
      </w:r>
      <w:r>
        <w:t xml:space="preserve"> makes directions for the hearing of the Compla</w:t>
      </w:r>
      <w:r w:rsidR="000B10A2">
        <w:t>int, as required by Regulation 107.4</w:t>
      </w:r>
      <w:r>
        <w:t>, as follows:</w:t>
      </w:r>
    </w:p>
    <w:p w14:paraId="36FABA2B" w14:textId="77777777" w:rsidR="00713B5B" w:rsidRDefault="00713B5B" w:rsidP="00713B5B">
      <w:pPr>
        <w:pStyle w:val="Heading1"/>
      </w:pPr>
      <w:r>
        <w:t>Pre-Hearing</w:t>
      </w:r>
    </w:p>
    <w:p w14:paraId="4BC4E5B4" w14:textId="77777777" w:rsidR="00713B5B" w:rsidRDefault="00713B5B" w:rsidP="00713B5B"/>
    <w:p w14:paraId="5BACFB50" w14:textId="77777777" w:rsidR="00713B5B" w:rsidRDefault="00713B5B" w:rsidP="00916DCC">
      <w:pPr>
        <w:pStyle w:val="SEBodytext"/>
        <w:numPr>
          <w:ilvl w:val="0"/>
          <w:numId w:val="27"/>
        </w:numPr>
        <w:jc w:val="both"/>
      </w:pPr>
      <w:r>
        <w:t>The Complaint will be heard at the date and time listed above</w:t>
      </w:r>
      <w:r w:rsidR="00DC1BAE">
        <w:t>, concerning the allegations made by the Complainant within their completed Club Complaint Form.</w:t>
      </w:r>
    </w:p>
    <w:p w14:paraId="16320C80" w14:textId="77777777" w:rsidR="00DC1BAE" w:rsidRDefault="00DC1BAE" w:rsidP="00916DCC">
      <w:pPr>
        <w:pStyle w:val="SEBodytext"/>
        <w:ind w:left="360"/>
        <w:jc w:val="both"/>
      </w:pPr>
    </w:p>
    <w:p w14:paraId="19163536" w14:textId="0E36E5C3" w:rsidR="00DC1BAE" w:rsidRDefault="00DC1BAE" w:rsidP="00916DCC">
      <w:pPr>
        <w:pStyle w:val="SEBodytext"/>
        <w:numPr>
          <w:ilvl w:val="0"/>
          <w:numId w:val="27"/>
        </w:numPr>
        <w:jc w:val="both"/>
      </w:pPr>
      <w:r>
        <w:t xml:space="preserve">Within </w:t>
      </w:r>
      <w:r w:rsidRPr="00D34675">
        <w:t>five (5)</w:t>
      </w:r>
      <w:r>
        <w:t xml:space="preserve"> days of receipt of these Directions, the Complainant shall provide by email to the Club </w:t>
      </w:r>
      <w:r w:rsidR="008E52C2">
        <w:t>Complaint Panel</w:t>
      </w:r>
      <w:r>
        <w:t xml:space="preserve"> and Respondent:</w:t>
      </w:r>
    </w:p>
    <w:p w14:paraId="040420A1" w14:textId="77777777" w:rsidR="00E30A6D" w:rsidRDefault="00E30A6D" w:rsidP="00916DCC">
      <w:pPr>
        <w:pStyle w:val="SEBodytext"/>
        <w:ind w:left="360"/>
        <w:jc w:val="both"/>
      </w:pPr>
    </w:p>
    <w:p w14:paraId="2D6462F5" w14:textId="77777777" w:rsidR="00DC1BAE" w:rsidRDefault="00DC1BAE" w:rsidP="00916DCC">
      <w:pPr>
        <w:pStyle w:val="SEBodytext"/>
        <w:numPr>
          <w:ilvl w:val="1"/>
          <w:numId w:val="27"/>
        </w:numPr>
        <w:jc w:val="both"/>
      </w:pPr>
      <w:r>
        <w:t xml:space="preserve">a copy of the evidence upon which it intends to rely, including arguments, documents and any witness statements. Such evidence shall be limited to </w:t>
      </w:r>
      <w:r w:rsidRPr="00D34675">
        <w:t>50</w:t>
      </w:r>
      <w:r>
        <w:t xml:space="preserve"> pages of A4 in length; and</w:t>
      </w:r>
    </w:p>
    <w:p w14:paraId="7F3519C1" w14:textId="77777777" w:rsidR="00E30A6D" w:rsidRDefault="00E30A6D" w:rsidP="00916DCC">
      <w:pPr>
        <w:pStyle w:val="SEBodytext"/>
        <w:ind w:left="792"/>
        <w:jc w:val="both"/>
      </w:pPr>
    </w:p>
    <w:p w14:paraId="332A0FA1" w14:textId="77777777" w:rsidR="00DC1BAE" w:rsidRDefault="00DC1BAE" w:rsidP="00916DCC">
      <w:pPr>
        <w:pStyle w:val="SEBodytext"/>
        <w:numPr>
          <w:ilvl w:val="1"/>
          <w:numId w:val="27"/>
        </w:numPr>
        <w:jc w:val="both"/>
      </w:pPr>
      <w:r>
        <w:t>a list of any witnesses who shall attend</w:t>
      </w:r>
      <w:r w:rsidR="00E30A6D">
        <w:t xml:space="preserve"> and an explanation as to why their evidence is relevant to the Complaint</w:t>
      </w:r>
      <w:r>
        <w:t xml:space="preserve">. A maximum of </w:t>
      </w:r>
      <w:r w:rsidRPr="00D34675">
        <w:t>three (3)</w:t>
      </w:r>
      <w:r>
        <w:t xml:space="preserve"> witnesses may attend.</w:t>
      </w:r>
    </w:p>
    <w:p w14:paraId="6FA6598B" w14:textId="77777777" w:rsidR="00E30A6D" w:rsidRDefault="00E30A6D" w:rsidP="00916DCC">
      <w:pPr>
        <w:pStyle w:val="SEBodytext"/>
        <w:ind w:left="792"/>
        <w:jc w:val="both"/>
      </w:pPr>
    </w:p>
    <w:p w14:paraId="5BC62354" w14:textId="5980E3EF" w:rsidR="00E30A6D" w:rsidRDefault="00E30A6D" w:rsidP="00916DCC">
      <w:pPr>
        <w:pStyle w:val="SEBodytext"/>
        <w:numPr>
          <w:ilvl w:val="0"/>
          <w:numId w:val="27"/>
        </w:numPr>
        <w:jc w:val="both"/>
      </w:pPr>
      <w:r>
        <w:t xml:space="preserve">Within </w:t>
      </w:r>
      <w:r w:rsidRPr="00D34675">
        <w:t>five (5)</w:t>
      </w:r>
      <w:r>
        <w:t xml:space="preserve"> days of receipt of the Complainant’s evidence, the Respondent shall provide by email to the Club </w:t>
      </w:r>
      <w:r w:rsidR="008E52C2">
        <w:t>Complaint Panel</w:t>
      </w:r>
      <w:r>
        <w:t xml:space="preserve"> and Complainant:</w:t>
      </w:r>
    </w:p>
    <w:p w14:paraId="5B4634D7" w14:textId="77777777" w:rsidR="00E30A6D" w:rsidRDefault="00E30A6D" w:rsidP="00916DCC">
      <w:pPr>
        <w:pStyle w:val="SEBodytext"/>
        <w:ind w:left="360"/>
        <w:jc w:val="both"/>
      </w:pPr>
    </w:p>
    <w:p w14:paraId="2F660874" w14:textId="77777777" w:rsidR="00E30A6D" w:rsidRDefault="00E30A6D" w:rsidP="00916DCC">
      <w:pPr>
        <w:pStyle w:val="SEBodytext"/>
        <w:numPr>
          <w:ilvl w:val="1"/>
          <w:numId w:val="27"/>
        </w:numPr>
        <w:jc w:val="both"/>
      </w:pPr>
      <w:r>
        <w:t xml:space="preserve">a copy of the evidence upon which it intends to rely, including arguments, documents and any witness statements. Such evidence shall be limited to </w:t>
      </w:r>
      <w:r w:rsidRPr="00D34675">
        <w:t>50</w:t>
      </w:r>
      <w:r>
        <w:t xml:space="preserve"> pages of A4 in length; and</w:t>
      </w:r>
    </w:p>
    <w:p w14:paraId="785F16A4" w14:textId="77777777" w:rsidR="00E30A6D" w:rsidRDefault="00E30A6D" w:rsidP="00916DCC">
      <w:pPr>
        <w:pStyle w:val="SEBodytext"/>
        <w:ind w:left="792"/>
        <w:jc w:val="both"/>
      </w:pPr>
    </w:p>
    <w:p w14:paraId="72F47CDF" w14:textId="77777777" w:rsidR="00E30A6D" w:rsidRDefault="00E30A6D" w:rsidP="00916DCC">
      <w:pPr>
        <w:pStyle w:val="SEBodytext"/>
        <w:numPr>
          <w:ilvl w:val="1"/>
          <w:numId w:val="27"/>
        </w:numPr>
        <w:jc w:val="both"/>
      </w:pPr>
      <w:r>
        <w:t>a list of any witnesses who shall attend</w:t>
      </w:r>
      <w:r w:rsidRPr="00E30A6D">
        <w:t xml:space="preserve"> </w:t>
      </w:r>
      <w:r>
        <w:t xml:space="preserve">and an explanation as to why their evidence is relevant to the Complaint. A maximum of </w:t>
      </w:r>
      <w:r w:rsidRPr="00D34675">
        <w:t>three (3)</w:t>
      </w:r>
      <w:r>
        <w:t xml:space="preserve"> witnesses may attend.</w:t>
      </w:r>
    </w:p>
    <w:p w14:paraId="28677B69" w14:textId="77777777" w:rsidR="00E30A6D" w:rsidRDefault="00E30A6D" w:rsidP="00916DCC">
      <w:pPr>
        <w:pStyle w:val="SEBodytext"/>
        <w:ind w:left="792"/>
        <w:jc w:val="both"/>
      </w:pPr>
    </w:p>
    <w:p w14:paraId="24F6437D" w14:textId="1641969D" w:rsidR="00E30A6D" w:rsidRDefault="00E30A6D" w:rsidP="00916DCC">
      <w:pPr>
        <w:pStyle w:val="SEBodytext"/>
        <w:numPr>
          <w:ilvl w:val="0"/>
          <w:numId w:val="27"/>
        </w:numPr>
        <w:jc w:val="both"/>
      </w:pPr>
      <w:r>
        <w:t xml:space="preserve">All correspondence between the parties exchanging evidence shall include the Club </w:t>
      </w:r>
      <w:r w:rsidR="008E52C2">
        <w:t>Complaint Panel</w:t>
      </w:r>
      <w:r>
        <w:t xml:space="preserve"> Chair, who shall promptly forward such evidence to the other members of the Club </w:t>
      </w:r>
      <w:r w:rsidR="008E52C2">
        <w:t>Complaint Panel</w:t>
      </w:r>
      <w:r>
        <w:t>.</w:t>
      </w:r>
    </w:p>
    <w:p w14:paraId="1687CBCF" w14:textId="77777777" w:rsidR="00BF27AF" w:rsidRDefault="00BF27AF" w:rsidP="00916DCC">
      <w:pPr>
        <w:pStyle w:val="SEBodytext"/>
        <w:ind w:left="360"/>
        <w:jc w:val="both"/>
      </w:pPr>
    </w:p>
    <w:p w14:paraId="72A27CEB" w14:textId="77777777" w:rsidR="00BF27AF" w:rsidRDefault="00BF27AF" w:rsidP="00916DCC">
      <w:pPr>
        <w:pStyle w:val="SEBodytext"/>
        <w:numPr>
          <w:ilvl w:val="0"/>
          <w:numId w:val="27"/>
        </w:numPr>
        <w:jc w:val="both"/>
      </w:pPr>
      <w:r>
        <w:t>Following submission of evidence in accordance with the above, no further evidence may be submitted.</w:t>
      </w:r>
    </w:p>
    <w:p w14:paraId="5E9F3077" w14:textId="77777777" w:rsidR="00E30A6D" w:rsidRDefault="00E30A6D" w:rsidP="00916DCC">
      <w:pPr>
        <w:pStyle w:val="SEBodytext"/>
        <w:ind w:left="360"/>
        <w:jc w:val="both"/>
      </w:pPr>
    </w:p>
    <w:p w14:paraId="1C13310E" w14:textId="08253161" w:rsidR="00E30A6D" w:rsidRDefault="00E30A6D" w:rsidP="00916DCC">
      <w:pPr>
        <w:pStyle w:val="SEBodytext"/>
        <w:numPr>
          <w:ilvl w:val="0"/>
          <w:numId w:val="27"/>
        </w:numPr>
        <w:jc w:val="both"/>
      </w:pPr>
      <w:proofErr w:type="gramStart"/>
      <w:r>
        <w:t>In the event that</w:t>
      </w:r>
      <w:proofErr w:type="gramEnd"/>
      <w:r>
        <w:t xml:space="preserve"> the Complainant fails to submit evidence in time, the Club </w:t>
      </w:r>
      <w:r w:rsidR="008E52C2">
        <w:t xml:space="preserve">Complaint Panel </w:t>
      </w:r>
      <w:r>
        <w:t xml:space="preserve">reserves the right to dismiss the Complaint. </w:t>
      </w:r>
      <w:proofErr w:type="gramStart"/>
      <w:r>
        <w:t>In the event that</w:t>
      </w:r>
      <w:proofErr w:type="gramEnd"/>
      <w:r>
        <w:t xml:space="preserve"> the Respondent fails </w:t>
      </w:r>
      <w:r>
        <w:lastRenderedPageBreak/>
        <w:t xml:space="preserve">to submit evidence in time, the Club </w:t>
      </w:r>
      <w:r w:rsidR="008E52C2">
        <w:t>Complaint Panel</w:t>
      </w:r>
      <w:r>
        <w:t xml:space="preserve"> reserves the right to proceed in the absence of such.</w:t>
      </w:r>
    </w:p>
    <w:p w14:paraId="274DA82D" w14:textId="77777777" w:rsidR="00E30A6D" w:rsidRDefault="00E30A6D" w:rsidP="00916DCC">
      <w:pPr>
        <w:pStyle w:val="SEBodytext"/>
        <w:ind w:left="360"/>
        <w:jc w:val="both"/>
      </w:pPr>
    </w:p>
    <w:p w14:paraId="693981C3" w14:textId="04E63423" w:rsidR="00BF27AF" w:rsidRDefault="00E30A6D" w:rsidP="00916DCC">
      <w:pPr>
        <w:pStyle w:val="SEBodytext"/>
        <w:numPr>
          <w:ilvl w:val="0"/>
          <w:numId w:val="27"/>
        </w:numPr>
        <w:jc w:val="both"/>
      </w:pPr>
      <w:r>
        <w:t xml:space="preserve">In order to manage time, the Club </w:t>
      </w:r>
      <w:r w:rsidR="008E52C2">
        <w:t>Complaint Panel</w:t>
      </w:r>
      <w:r>
        <w:t xml:space="preserve"> Chair may order that any witness shall not attend on the basis that their participation is deemed irrelevant to the </w:t>
      </w:r>
      <w:proofErr w:type="gramStart"/>
      <w:r>
        <w:t>Complaint</w:t>
      </w:r>
      <w:proofErr w:type="gramEnd"/>
      <w:r w:rsidR="00BF27AF">
        <w:t xml:space="preserve"> or their witness statement is deemed sufficient to consider the points they raise</w:t>
      </w:r>
      <w:r>
        <w:t>. The Chair shall seek comment from both parties prior to doing so.</w:t>
      </w:r>
    </w:p>
    <w:p w14:paraId="5E34179D" w14:textId="77777777" w:rsidR="00BF27AF" w:rsidRDefault="00BF27AF" w:rsidP="00916DCC">
      <w:pPr>
        <w:pStyle w:val="SEBodytext"/>
        <w:ind w:left="360"/>
        <w:jc w:val="both"/>
      </w:pPr>
    </w:p>
    <w:p w14:paraId="0F7AD2F5" w14:textId="34666A5D" w:rsidR="00BF27AF" w:rsidRDefault="00BF27AF" w:rsidP="00916DCC">
      <w:pPr>
        <w:pStyle w:val="SEBodytext"/>
        <w:numPr>
          <w:ilvl w:val="0"/>
          <w:numId w:val="27"/>
        </w:numPr>
        <w:jc w:val="both"/>
      </w:pPr>
      <w:r>
        <w:t>Character references which do not touch on the specific issue giving rise to the Complaint will not be considered.</w:t>
      </w:r>
      <w:r w:rsidR="00022655">
        <w:t xml:space="preserve"> Character references which go to support a relevant mitigating factor </w:t>
      </w:r>
      <w:r w:rsidR="00D34675">
        <w:t>shall</w:t>
      </w:r>
      <w:r w:rsidR="00022655">
        <w:t xml:space="preserve"> be considered by the Chair on paper.</w:t>
      </w:r>
    </w:p>
    <w:p w14:paraId="75FBAA36" w14:textId="77777777" w:rsidR="00E30A6D" w:rsidRDefault="00E30A6D" w:rsidP="00916DCC">
      <w:pPr>
        <w:pStyle w:val="SEBodytext"/>
        <w:ind w:left="360"/>
        <w:jc w:val="both"/>
      </w:pPr>
    </w:p>
    <w:p w14:paraId="52BDD613" w14:textId="44FBC8AB" w:rsidR="00E30A6D" w:rsidRDefault="00E30A6D" w:rsidP="00916DCC">
      <w:pPr>
        <w:pStyle w:val="SEBodytext"/>
        <w:numPr>
          <w:ilvl w:val="0"/>
          <w:numId w:val="27"/>
        </w:numPr>
        <w:jc w:val="both"/>
      </w:pPr>
      <w:proofErr w:type="gramStart"/>
      <w:r>
        <w:t>In the event that</w:t>
      </w:r>
      <w:proofErr w:type="gramEnd"/>
      <w:r>
        <w:t xml:space="preserve"> any witness is under the age of 16, the Club </w:t>
      </w:r>
      <w:r w:rsidR="008E52C2">
        <w:t>Complaint Panel</w:t>
      </w:r>
      <w:r>
        <w:t xml:space="preserve"> Chair shall make any order </w:t>
      </w:r>
      <w:r w:rsidR="00022655">
        <w:t xml:space="preserve">for the protection of that witness, that </w:t>
      </w:r>
      <w:r>
        <w:t>they consider necessary</w:t>
      </w:r>
      <w:r w:rsidR="00022655">
        <w:t>.</w:t>
      </w:r>
    </w:p>
    <w:p w14:paraId="57CA6580" w14:textId="121C6957" w:rsidR="00BF27AF" w:rsidRDefault="00AF0D37" w:rsidP="00BF27AF">
      <w:pPr>
        <w:pStyle w:val="Heading1"/>
      </w:pPr>
      <w:r>
        <w:t xml:space="preserve">Panel </w:t>
      </w:r>
      <w:r w:rsidR="00BF27AF">
        <w:t>Hearing</w:t>
      </w:r>
    </w:p>
    <w:p w14:paraId="0AA4CE19" w14:textId="77777777" w:rsidR="00BF27AF" w:rsidRDefault="00BF27AF" w:rsidP="00E30A6D">
      <w:pPr>
        <w:pStyle w:val="SEBodytext"/>
        <w:ind w:left="360"/>
      </w:pPr>
    </w:p>
    <w:p w14:paraId="67E28853" w14:textId="7D3A858F" w:rsidR="00AF0D37" w:rsidRDefault="00AF0D37" w:rsidP="00916DCC">
      <w:pPr>
        <w:pStyle w:val="SEBodytext"/>
        <w:numPr>
          <w:ilvl w:val="0"/>
          <w:numId w:val="27"/>
        </w:numPr>
        <w:jc w:val="both"/>
      </w:pPr>
      <w:r>
        <w:t>This section applies where the hearing is to be held by a panel.</w:t>
      </w:r>
    </w:p>
    <w:p w14:paraId="525FEBB2" w14:textId="77777777" w:rsidR="00AF0D37" w:rsidRDefault="00AF0D37" w:rsidP="00AF0D37">
      <w:pPr>
        <w:pStyle w:val="SEBodytext"/>
        <w:ind w:left="360"/>
        <w:jc w:val="both"/>
      </w:pPr>
    </w:p>
    <w:p w14:paraId="6F834C74" w14:textId="15E406B8" w:rsidR="00476002" w:rsidRDefault="00476002" w:rsidP="00916DCC">
      <w:pPr>
        <w:pStyle w:val="SEBodytext"/>
        <w:numPr>
          <w:ilvl w:val="0"/>
          <w:numId w:val="27"/>
        </w:numPr>
        <w:jc w:val="both"/>
      </w:pPr>
      <w:r>
        <w:t xml:space="preserve">All parties and any witnesses shall conduct themselves in a respectful, professional and ethical manner. If the Club </w:t>
      </w:r>
      <w:r w:rsidR="008E52C2">
        <w:t>Complaint Panel</w:t>
      </w:r>
      <w:r>
        <w:t xml:space="preserve"> Chair considers that any individual is behaving poorly or disrupting the hearing, they may bar the individual from further participation and shall consider whether it is necessary to file a </w:t>
      </w:r>
      <w:r w:rsidR="00022655">
        <w:t>J</w:t>
      </w:r>
      <w:r>
        <w:t xml:space="preserve">udicial </w:t>
      </w:r>
      <w:r w:rsidR="00022655">
        <w:t>C</w:t>
      </w:r>
      <w:r>
        <w:t>omplaint against them with Swim England.</w:t>
      </w:r>
    </w:p>
    <w:p w14:paraId="1B18E0E6" w14:textId="77777777" w:rsidR="00476002" w:rsidRDefault="00476002" w:rsidP="00916DCC">
      <w:pPr>
        <w:pStyle w:val="SEBodytext"/>
        <w:ind w:left="360"/>
        <w:jc w:val="both"/>
      </w:pPr>
    </w:p>
    <w:p w14:paraId="24789A9E" w14:textId="351AFC07" w:rsidR="00DC1BAE" w:rsidRDefault="00DC1BAE" w:rsidP="00916DCC">
      <w:pPr>
        <w:pStyle w:val="SEBodytext"/>
        <w:numPr>
          <w:ilvl w:val="0"/>
          <w:numId w:val="27"/>
        </w:numPr>
        <w:jc w:val="both"/>
      </w:pPr>
      <w:r>
        <w:t xml:space="preserve">The </w:t>
      </w:r>
      <w:r w:rsidR="00022655">
        <w:t>h</w:t>
      </w:r>
      <w:r>
        <w:t xml:space="preserve">earing shall last for a maximum duration of </w:t>
      </w:r>
      <w:r w:rsidRPr="00D34675">
        <w:t>two hours</w:t>
      </w:r>
      <w:r>
        <w:t>, based upon the following timetable:</w:t>
      </w:r>
    </w:p>
    <w:p w14:paraId="41D068AE" w14:textId="77777777" w:rsidR="00DC1BAE" w:rsidRDefault="00DC1BAE" w:rsidP="00916DCC">
      <w:pPr>
        <w:pStyle w:val="SEBodytext"/>
        <w:ind w:left="360"/>
        <w:jc w:val="both"/>
      </w:pPr>
    </w:p>
    <w:p w14:paraId="734CA769" w14:textId="77777777" w:rsidR="00BF27AF" w:rsidRDefault="00BF27AF" w:rsidP="00916DCC">
      <w:pPr>
        <w:pStyle w:val="SEBodytext"/>
        <w:numPr>
          <w:ilvl w:val="1"/>
          <w:numId w:val="27"/>
        </w:numPr>
        <w:jc w:val="both"/>
      </w:pPr>
      <w:r>
        <w:t xml:space="preserve">Introductions </w:t>
      </w:r>
      <w:r w:rsidRPr="00022655">
        <w:t xml:space="preserve">– </w:t>
      </w:r>
      <w:r w:rsidRPr="00D34675">
        <w:t>10 minutes</w:t>
      </w:r>
    </w:p>
    <w:p w14:paraId="5EBF5CEE" w14:textId="77777777" w:rsidR="00BF27AF" w:rsidRDefault="00BF27AF" w:rsidP="00916DCC">
      <w:pPr>
        <w:pStyle w:val="SEBodytext"/>
        <w:ind w:left="792"/>
        <w:jc w:val="both"/>
      </w:pPr>
    </w:p>
    <w:p w14:paraId="6E5D04FA" w14:textId="77777777" w:rsidR="00DC1BAE" w:rsidRDefault="00DC1BAE" w:rsidP="00916DCC">
      <w:pPr>
        <w:pStyle w:val="SEBodytext"/>
        <w:numPr>
          <w:ilvl w:val="1"/>
          <w:numId w:val="27"/>
        </w:numPr>
        <w:jc w:val="both"/>
      </w:pPr>
      <w:r>
        <w:t xml:space="preserve">Complainant’s arguments and evidence </w:t>
      </w:r>
      <w:r w:rsidRPr="00022655">
        <w:t xml:space="preserve">– </w:t>
      </w:r>
      <w:r w:rsidR="00BF27AF" w:rsidRPr="00D34675">
        <w:t>45</w:t>
      </w:r>
      <w:r w:rsidRPr="00D34675">
        <w:t xml:space="preserve"> minutes</w:t>
      </w:r>
    </w:p>
    <w:p w14:paraId="0194E7F4" w14:textId="77777777" w:rsidR="00E30A6D" w:rsidRDefault="00E30A6D" w:rsidP="00916DCC">
      <w:pPr>
        <w:pStyle w:val="SEBodytext"/>
        <w:ind w:left="792"/>
        <w:jc w:val="both"/>
      </w:pPr>
    </w:p>
    <w:p w14:paraId="48933C4E" w14:textId="77777777" w:rsidR="00DC1BAE" w:rsidRDefault="00DC1BAE" w:rsidP="00916DCC">
      <w:pPr>
        <w:pStyle w:val="SEBodytext"/>
        <w:numPr>
          <w:ilvl w:val="1"/>
          <w:numId w:val="27"/>
        </w:numPr>
        <w:jc w:val="both"/>
      </w:pPr>
      <w:r>
        <w:t xml:space="preserve">Respondent’s arguments and evidence – </w:t>
      </w:r>
      <w:r w:rsidR="00BF27AF" w:rsidRPr="00D34675">
        <w:t>45</w:t>
      </w:r>
      <w:r w:rsidRPr="00D34675">
        <w:t xml:space="preserve"> minutes</w:t>
      </w:r>
    </w:p>
    <w:p w14:paraId="537D4CCF" w14:textId="77777777" w:rsidR="00E30A6D" w:rsidRDefault="00E30A6D" w:rsidP="00916DCC">
      <w:pPr>
        <w:pStyle w:val="SEBodytext"/>
        <w:ind w:left="792"/>
        <w:jc w:val="both"/>
      </w:pPr>
    </w:p>
    <w:p w14:paraId="08F889A7" w14:textId="77777777" w:rsidR="00DC1BAE" w:rsidRDefault="00DC1BAE" w:rsidP="00916DCC">
      <w:pPr>
        <w:pStyle w:val="SEBodytext"/>
        <w:numPr>
          <w:ilvl w:val="1"/>
          <w:numId w:val="27"/>
        </w:numPr>
        <w:jc w:val="both"/>
      </w:pPr>
      <w:r>
        <w:t xml:space="preserve">Opportunity for Complainant to reply – </w:t>
      </w:r>
      <w:r w:rsidRPr="00D34675">
        <w:t>10 minutes</w:t>
      </w:r>
    </w:p>
    <w:p w14:paraId="41C58716" w14:textId="77777777" w:rsidR="00E30A6D" w:rsidRDefault="00E30A6D" w:rsidP="00916DCC">
      <w:pPr>
        <w:pStyle w:val="SEBodytext"/>
        <w:ind w:left="792"/>
        <w:jc w:val="both"/>
      </w:pPr>
    </w:p>
    <w:p w14:paraId="51DC3267" w14:textId="77777777" w:rsidR="00DC1BAE" w:rsidRDefault="00DC1BAE" w:rsidP="00916DCC">
      <w:pPr>
        <w:pStyle w:val="SEBodytext"/>
        <w:numPr>
          <w:ilvl w:val="1"/>
          <w:numId w:val="27"/>
        </w:numPr>
        <w:jc w:val="both"/>
      </w:pPr>
      <w:r>
        <w:t xml:space="preserve">Opportunity for Respondent to reply – </w:t>
      </w:r>
      <w:r w:rsidRPr="00D34675">
        <w:t>10 minutes</w:t>
      </w:r>
    </w:p>
    <w:p w14:paraId="07868A57" w14:textId="77777777" w:rsidR="00BF27AF" w:rsidRDefault="00BF27AF" w:rsidP="00916DCC">
      <w:pPr>
        <w:pStyle w:val="SEBodytext"/>
        <w:ind w:left="792"/>
        <w:jc w:val="both"/>
      </w:pPr>
    </w:p>
    <w:p w14:paraId="4F75D4D1" w14:textId="77777777" w:rsidR="00BF27AF" w:rsidRDefault="00BF27AF" w:rsidP="00916DCC">
      <w:pPr>
        <w:pStyle w:val="SEBodytext"/>
        <w:numPr>
          <w:ilvl w:val="0"/>
          <w:numId w:val="27"/>
        </w:numPr>
        <w:jc w:val="both"/>
      </w:pPr>
      <w:r>
        <w:t xml:space="preserve">The Parties are encouraged to respect the time given by all to resolve this matter and to make their arguments in less time than the maximum where possible. All arguments will be strictly limited to the issues giving rise to the Complaint as stated within the Club Complaint Form and the Chair shall intervene if they believe that the hearing </w:t>
      </w:r>
      <w:r w:rsidR="00476002">
        <w:t>is</w:t>
      </w:r>
      <w:r>
        <w:t xml:space="preserve"> off-topic.</w:t>
      </w:r>
    </w:p>
    <w:p w14:paraId="76722C04" w14:textId="77777777" w:rsidR="00BF27AF" w:rsidRDefault="00BF27AF" w:rsidP="00916DCC">
      <w:pPr>
        <w:pStyle w:val="SEBodytext"/>
        <w:ind w:left="792"/>
        <w:jc w:val="both"/>
      </w:pPr>
    </w:p>
    <w:p w14:paraId="150F8A58" w14:textId="681E4BEA" w:rsidR="00BF27AF" w:rsidRDefault="00BF27AF" w:rsidP="00916DCC">
      <w:pPr>
        <w:pStyle w:val="SEBodytext"/>
        <w:numPr>
          <w:ilvl w:val="0"/>
          <w:numId w:val="27"/>
        </w:numPr>
        <w:jc w:val="both"/>
      </w:pPr>
      <w:r>
        <w:t>Witnesses for one party shall not be</w:t>
      </w:r>
      <w:r w:rsidR="00476002">
        <w:t xml:space="preserve"> questioned or challenged</w:t>
      </w:r>
      <w:r>
        <w:t xml:space="preserve"> </w:t>
      </w:r>
      <w:r w:rsidR="00476002">
        <w:t>by the other party unless they request</w:t>
      </w:r>
      <w:r>
        <w:t xml:space="preserve"> such and the Club </w:t>
      </w:r>
      <w:r w:rsidR="008E52C2">
        <w:t>Complaint Panel</w:t>
      </w:r>
      <w:r>
        <w:t xml:space="preserve"> Chair considers there to be a good reason to allow </w:t>
      </w:r>
      <w:r w:rsidR="00476002">
        <w:t>it</w:t>
      </w:r>
      <w:r>
        <w:t>, for example where a fundamental dispute over facts exists or where a witness’s credibility is questioned.</w:t>
      </w:r>
    </w:p>
    <w:p w14:paraId="103B133C" w14:textId="77777777" w:rsidR="00476002" w:rsidRDefault="00476002" w:rsidP="00916DCC">
      <w:pPr>
        <w:pStyle w:val="SEBodytext"/>
        <w:ind w:left="360"/>
        <w:jc w:val="both"/>
      </w:pPr>
    </w:p>
    <w:p w14:paraId="455DA04A" w14:textId="4DA45612" w:rsidR="00BF27AF" w:rsidRDefault="00BF27AF" w:rsidP="00916DCC">
      <w:pPr>
        <w:pStyle w:val="SEBodytext"/>
        <w:numPr>
          <w:ilvl w:val="0"/>
          <w:numId w:val="27"/>
        </w:numPr>
        <w:jc w:val="both"/>
      </w:pPr>
      <w:r>
        <w:t xml:space="preserve">Neither party may interrupt the other while they are giving evidence or making arguments. Club </w:t>
      </w:r>
      <w:r w:rsidR="008E52C2">
        <w:t>Complaint Panel</w:t>
      </w:r>
      <w:r>
        <w:t xml:space="preserve"> members may intervene with questions </w:t>
      </w:r>
      <w:proofErr w:type="gramStart"/>
      <w:r>
        <w:t>if and when</w:t>
      </w:r>
      <w:proofErr w:type="gramEnd"/>
      <w:r>
        <w:t xml:space="preserve"> they see fit.</w:t>
      </w:r>
    </w:p>
    <w:p w14:paraId="33DB1944" w14:textId="77777777" w:rsidR="00476002" w:rsidRDefault="00476002" w:rsidP="00916DCC">
      <w:pPr>
        <w:pStyle w:val="SEBodytext"/>
        <w:jc w:val="both"/>
      </w:pPr>
    </w:p>
    <w:p w14:paraId="77650C22" w14:textId="1FF44F77" w:rsidR="00BF27AF" w:rsidRDefault="00BF27AF" w:rsidP="00916DCC">
      <w:pPr>
        <w:pStyle w:val="SEBodytext"/>
        <w:numPr>
          <w:ilvl w:val="0"/>
          <w:numId w:val="27"/>
        </w:numPr>
        <w:jc w:val="both"/>
      </w:pPr>
      <w:r>
        <w:t xml:space="preserve">Upon conclusion of the hearing, the Club </w:t>
      </w:r>
      <w:r w:rsidR="008E52C2">
        <w:t>Complaint Panel</w:t>
      </w:r>
      <w:r>
        <w:t xml:space="preserve"> will deliberate the matter and write up its decision. No additional evidence or arguments will be considered after this point.</w:t>
      </w:r>
    </w:p>
    <w:p w14:paraId="7A8F6AA9" w14:textId="77777777" w:rsidR="00476002" w:rsidRDefault="00476002" w:rsidP="00916DCC">
      <w:pPr>
        <w:pStyle w:val="SEBodytext"/>
        <w:jc w:val="both"/>
      </w:pPr>
    </w:p>
    <w:p w14:paraId="4F3106F4" w14:textId="2CAC650E" w:rsidR="00AF0D37" w:rsidRDefault="00AF0D37" w:rsidP="00AF0D37">
      <w:pPr>
        <w:pStyle w:val="Heading1"/>
      </w:pPr>
      <w:r>
        <w:lastRenderedPageBreak/>
        <w:t>Paper Hearing</w:t>
      </w:r>
    </w:p>
    <w:p w14:paraId="49E4CCEA" w14:textId="77777777" w:rsidR="00AF0D37" w:rsidRDefault="00AF0D37" w:rsidP="00AF0D37"/>
    <w:p w14:paraId="3D1872EB" w14:textId="1EDFDE23" w:rsidR="00AF0D37" w:rsidRDefault="00DB7359" w:rsidP="00DB7359">
      <w:pPr>
        <w:pStyle w:val="SEBodytext"/>
        <w:numPr>
          <w:ilvl w:val="0"/>
          <w:numId w:val="27"/>
        </w:numPr>
      </w:pPr>
      <w:r>
        <w:t>This section applies where the issue is to be heard on paper.</w:t>
      </w:r>
    </w:p>
    <w:p w14:paraId="0E5C2BA5" w14:textId="77777777" w:rsidR="00DB7359" w:rsidRDefault="00DB7359" w:rsidP="00DB7359">
      <w:pPr>
        <w:pStyle w:val="SEBodytext"/>
        <w:ind w:left="360"/>
      </w:pPr>
    </w:p>
    <w:p w14:paraId="43FF0124" w14:textId="6CE93793" w:rsidR="00DB7359" w:rsidRDefault="00DB7359" w:rsidP="00DB7359">
      <w:pPr>
        <w:pStyle w:val="SEBodytext"/>
        <w:numPr>
          <w:ilvl w:val="0"/>
          <w:numId w:val="27"/>
        </w:numPr>
      </w:pPr>
      <w:r>
        <w:t>Each party, upon receipt of the other’s evidence, may provide a reply to the Club Complaint Panel addressing the points raised within it. The reply may only challenge the points raised by the other party and may not raise any other new points. The reply shall be limited to 10 pages of A4 in length.</w:t>
      </w:r>
    </w:p>
    <w:p w14:paraId="4567500E" w14:textId="77777777" w:rsidR="00DB7359" w:rsidRDefault="00DB7359" w:rsidP="00DB7359">
      <w:pPr>
        <w:pStyle w:val="ListParagraph"/>
      </w:pPr>
    </w:p>
    <w:p w14:paraId="62BE9BAE" w14:textId="764576ED" w:rsidR="00DB7359" w:rsidRDefault="00DB7359" w:rsidP="00DB7359">
      <w:pPr>
        <w:pStyle w:val="SEBodytext"/>
        <w:numPr>
          <w:ilvl w:val="0"/>
          <w:numId w:val="27"/>
        </w:numPr>
      </w:pPr>
      <w:r>
        <w:t>When considering an issue on paper, the Club Complaint Panel may ask questions of either party by email, copying in the other party. Answers to such questions must be provided within four days.</w:t>
      </w:r>
    </w:p>
    <w:p w14:paraId="2DDCF33F" w14:textId="77777777" w:rsidR="00DB7359" w:rsidRDefault="00DB7359" w:rsidP="00DB7359">
      <w:pPr>
        <w:pStyle w:val="ListParagraph"/>
      </w:pPr>
    </w:p>
    <w:p w14:paraId="76CC2C21" w14:textId="71E23906" w:rsidR="00DB7359" w:rsidRDefault="00DB7359" w:rsidP="00DB7359">
      <w:pPr>
        <w:pStyle w:val="SEBodytext"/>
        <w:numPr>
          <w:ilvl w:val="0"/>
          <w:numId w:val="27"/>
        </w:numPr>
        <w:jc w:val="both"/>
      </w:pPr>
      <w:r>
        <w:t xml:space="preserve">Following receipt of any replies or answers to any questions </w:t>
      </w:r>
      <w:r>
        <w:t>the hearing, the Club Complaint Panel will deliberate the matter and write up its decision. No additional evidence or arguments will be considered after this point.</w:t>
      </w:r>
    </w:p>
    <w:p w14:paraId="5DFC29D0" w14:textId="11C5F204" w:rsidR="00DB7359" w:rsidRPr="00AF0D37" w:rsidRDefault="00DB7359" w:rsidP="00DB7359">
      <w:pPr>
        <w:pStyle w:val="SEBodytext"/>
        <w:ind w:left="360"/>
      </w:pPr>
    </w:p>
    <w:sectPr w:rsidR="00DB7359" w:rsidRPr="00AF0D37" w:rsidSect="00E45A45">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AB4A0E" w14:textId="77777777" w:rsidR="00FA5FFD" w:rsidRDefault="00FA5FFD" w:rsidP="00362075">
      <w:r>
        <w:separator/>
      </w:r>
    </w:p>
  </w:endnote>
  <w:endnote w:type="continuationSeparator" w:id="0">
    <w:p w14:paraId="668CF215" w14:textId="77777777" w:rsidR="00FA5FFD" w:rsidRDefault="00FA5FFD"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BD6271" w14:textId="77777777" w:rsidR="00FA5FFD" w:rsidRDefault="00FA5FFD" w:rsidP="00362075">
      <w:r>
        <w:separator/>
      </w:r>
    </w:p>
  </w:footnote>
  <w:footnote w:type="continuationSeparator" w:id="0">
    <w:p w14:paraId="68BC967F" w14:textId="77777777" w:rsidR="00FA5FFD" w:rsidRDefault="00FA5FFD"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AA61B" w14:textId="77777777" w:rsidR="00362075" w:rsidRPr="004951BA" w:rsidRDefault="004951BA" w:rsidP="004951BA">
    <w:pPr>
      <w:pStyle w:val="Header"/>
    </w:pPr>
    <w:r>
      <w:rPr>
        <w:noProof/>
        <w:lang w:eastAsia="en-GB"/>
      </w:rPr>
      <w:drawing>
        <wp:anchor distT="0" distB="0" distL="114300" distR="114300" simplePos="0" relativeHeight="251661312" behindDoc="1" locked="0" layoutInCell="1" allowOverlap="1" wp14:anchorId="7D0CCD66" wp14:editId="6F30BDE9">
          <wp:simplePos x="0" y="0"/>
          <wp:positionH relativeFrom="page">
            <wp:posOffset>0</wp:posOffset>
          </wp:positionH>
          <wp:positionV relativeFrom="page">
            <wp:posOffset>0</wp:posOffset>
          </wp:positionV>
          <wp:extent cx="7538400" cy="10652400"/>
          <wp:effectExtent l="0" t="0" r="571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38400" cy="10652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FFE13" w14:textId="77777777" w:rsidR="0034381D" w:rsidRDefault="00A05DB1">
    <w:r>
      <w:rPr>
        <w:noProof/>
        <w:lang w:eastAsia="en-GB"/>
      </w:rPr>
      <w:drawing>
        <wp:anchor distT="0" distB="0" distL="114300" distR="114300" simplePos="0" relativeHeight="251660288" behindDoc="1" locked="0" layoutInCell="1" allowOverlap="1" wp14:anchorId="3BF28E27" wp14:editId="63444768">
          <wp:simplePos x="0" y="0"/>
          <wp:positionH relativeFrom="page">
            <wp:posOffset>-195943</wp:posOffset>
          </wp:positionH>
          <wp:positionV relativeFrom="page">
            <wp:posOffset>-273327</wp:posOffset>
          </wp:positionV>
          <wp:extent cx="7955279" cy="112443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955279" cy="11244352"/>
                  </a:xfrm>
                  <a:prstGeom prst="rect">
                    <a:avLst/>
                  </a:prstGeom>
                </pic:spPr>
              </pic:pic>
            </a:graphicData>
          </a:graphic>
          <wp14:sizeRelH relativeFrom="margin">
            <wp14:pctWidth>0</wp14:pctWidth>
          </wp14:sizeRelH>
          <wp14:sizeRelV relativeFrom="margin">
            <wp14:pctHeight>0</wp14:pctHeight>
          </wp14:sizeRelV>
        </wp:anchor>
      </w:drawing>
    </w:r>
  </w:p>
  <w:p w14:paraId="70732638" w14:textId="77777777" w:rsidR="0034381D" w:rsidRDefault="0034381D"/>
  <w:p w14:paraId="0C8E3459" w14:textId="77777777" w:rsidR="0034381D" w:rsidRDefault="0034381D"/>
  <w:p w14:paraId="467AF381" w14:textId="77777777" w:rsidR="0034381D" w:rsidRDefault="0034381D"/>
  <w:p w14:paraId="75DC660A" w14:textId="77777777" w:rsidR="0034381D" w:rsidRDefault="0034381D"/>
  <w:p w14:paraId="23438718" w14:textId="77777777" w:rsidR="0034381D" w:rsidRDefault="0034381D"/>
  <w:p w14:paraId="70A26820"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77D6D2E"/>
    <w:multiLevelType w:val="hybridMultilevel"/>
    <w:tmpl w:val="20E69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1A7ED2"/>
    <w:multiLevelType w:val="hybridMultilevel"/>
    <w:tmpl w:val="ACAE38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F41CD6"/>
    <w:multiLevelType w:val="hybridMultilevel"/>
    <w:tmpl w:val="E70A1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F8A5320"/>
    <w:multiLevelType w:val="hybridMultilevel"/>
    <w:tmpl w:val="C3BC7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B60366"/>
    <w:multiLevelType w:val="hybridMultilevel"/>
    <w:tmpl w:val="171CD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E530C70"/>
    <w:multiLevelType w:val="hybridMultilevel"/>
    <w:tmpl w:val="A3568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FC86666"/>
    <w:multiLevelType w:val="hybridMultilevel"/>
    <w:tmpl w:val="2B48E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6E25AB7"/>
    <w:multiLevelType w:val="hybridMultilevel"/>
    <w:tmpl w:val="C0203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BFB700B"/>
    <w:multiLevelType w:val="hybridMultilevel"/>
    <w:tmpl w:val="3BB61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5F3DEB"/>
    <w:multiLevelType w:val="hybridMultilevel"/>
    <w:tmpl w:val="4F04C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042F1C"/>
    <w:multiLevelType w:val="hybridMultilevel"/>
    <w:tmpl w:val="F37C7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F32358"/>
    <w:multiLevelType w:val="hybridMultilevel"/>
    <w:tmpl w:val="66E4D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C732F6"/>
    <w:multiLevelType w:val="hybridMultilevel"/>
    <w:tmpl w:val="877AD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16A17B3"/>
    <w:multiLevelType w:val="hybridMultilevel"/>
    <w:tmpl w:val="3E465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4A55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38F0905"/>
    <w:multiLevelType w:val="hybridMultilevel"/>
    <w:tmpl w:val="58A40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650464">
    <w:abstractNumId w:val="0"/>
  </w:num>
  <w:num w:numId="2" w16cid:durableId="1513834699">
    <w:abstractNumId w:val="15"/>
  </w:num>
  <w:num w:numId="3" w16cid:durableId="576138649">
    <w:abstractNumId w:val="1"/>
  </w:num>
  <w:num w:numId="4" w16cid:durableId="1123966907">
    <w:abstractNumId w:val="2"/>
  </w:num>
  <w:num w:numId="5" w16cid:durableId="1671525478">
    <w:abstractNumId w:val="3"/>
  </w:num>
  <w:num w:numId="6" w16cid:durableId="121771464">
    <w:abstractNumId w:val="4"/>
  </w:num>
  <w:num w:numId="7" w16cid:durableId="1045175654">
    <w:abstractNumId w:val="9"/>
  </w:num>
  <w:num w:numId="8" w16cid:durableId="1628924012">
    <w:abstractNumId w:val="5"/>
  </w:num>
  <w:num w:numId="9" w16cid:durableId="2142725110">
    <w:abstractNumId w:val="6"/>
  </w:num>
  <w:num w:numId="10" w16cid:durableId="588924860">
    <w:abstractNumId w:val="7"/>
  </w:num>
  <w:num w:numId="11" w16cid:durableId="865606727">
    <w:abstractNumId w:val="8"/>
  </w:num>
  <w:num w:numId="12" w16cid:durableId="881283958">
    <w:abstractNumId w:val="10"/>
  </w:num>
  <w:num w:numId="13" w16cid:durableId="763648288">
    <w:abstractNumId w:val="18"/>
  </w:num>
  <w:num w:numId="14" w16cid:durableId="1228416867">
    <w:abstractNumId w:val="11"/>
  </w:num>
  <w:num w:numId="15" w16cid:durableId="1628120141">
    <w:abstractNumId w:val="17"/>
  </w:num>
  <w:num w:numId="16" w16cid:durableId="938878495">
    <w:abstractNumId w:val="12"/>
  </w:num>
  <w:num w:numId="17" w16cid:durableId="1549493637">
    <w:abstractNumId w:val="24"/>
  </w:num>
  <w:num w:numId="18" w16cid:durableId="377320578">
    <w:abstractNumId w:val="23"/>
  </w:num>
  <w:num w:numId="19" w16cid:durableId="1708942397">
    <w:abstractNumId w:val="19"/>
  </w:num>
  <w:num w:numId="20" w16cid:durableId="98259806">
    <w:abstractNumId w:val="25"/>
  </w:num>
  <w:num w:numId="21" w16cid:durableId="901254638">
    <w:abstractNumId w:val="27"/>
  </w:num>
  <w:num w:numId="22" w16cid:durableId="1705985536">
    <w:abstractNumId w:val="13"/>
  </w:num>
  <w:num w:numId="23" w16cid:durableId="971250059">
    <w:abstractNumId w:val="20"/>
  </w:num>
  <w:num w:numId="24" w16cid:durableId="1492714363">
    <w:abstractNumId w:val="22"/>
  </w:num>
  <w:num w:numId="25" w16cid:durableId="664354985">
    <w:abstractNumId w:val="21"/>
  </w:num>
  <w:num w:numId="26" w16cid:durableId="839348807">
    <w:abstractNumId w:val="14"/>
  </w:num>
  <w:num w:numId="27" w16cid:durableId="947813906">
    <w:abstractNumId w:val="26"/>
  </w:num>
  <w:num w:numId="28" w16cid:durableId="7986431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FFD"/>
    <w:rsid w:val="000041DC"/>
    <w:rsid w:val="00016A47"/>
    <w:rsid w:val="00022655"/>
    <w:rsid w:val="00060A78"/>
    <w:rsid w:val="00092C6F"/>
    <w:rsid w:val="0009450E"/>
    <w:rsid w:val="000B10A2"/>
    <w:rsid w:val="000C33E6"/>
    <w:rsid w:val="000C6160"/>
    <w:rsid w:val="000D1CD1"/>
    <w:rsid w:val="001272BD"/>
    <w:rsid w:val="00141251"/>
    <w:rsid w:val="0016606E"/>
    <w:rsid w:val="001A2FE6"/>
    <w:rsid w:val="001E4C2C"/>
    <w:rsid w:val="001F1ECD"/>
    <w:rsid w:val="002009CC"/>
    <w:rsid w:val="00203E47"/>
    <w:rsid w:val="002053B4"/>
    <w:rsid w:val="00234F63"/>
    <w:rsid w:val="00257FE3"/>
    <w:rsid w:val="00292769"/>
    <w:rsid w:val="002A4BF2"/>
    <w:rsid w:val="002B6D1D"/>
    <w:rsid w:val="00321BB7"/>
    <w:rsid w:val="0034381D"/>
    <w:rsid w:val="00362075"/>
    <w:rsid w:val="00365C10"/>
    <w:rsid w:val="00375E80"/>
    <w:rsid w:val="003801CE"/>
    <w:rsid w:val="003A39B8"/>
    <w:rsid w:val="003B0BEF"/>
    <w:rsid w:val="003B517C"/>
    <w:rsid w:val="003E014B"/>
    <w:rsid w:val="00411C1F"/>
    <w:rsid w:val="00446F92"/>
    <w:rsid w:val="00476002"/>
    <w:rsid w:val="004772C3"/>
    <w:rsid w:val="00486571"/>
    <w:rsid w:val="004951BA"/>
    <w:rsid w:val="004C0950"/>
    <w:rsid w:val="004E0C8E"/>
    <w:rsid w:val="0051288B"/>
    <w:rsid w:val="005433DB"/>
    <w:rsid w:val="00572F3E"/>
    <w:rsid w:val="005A2BD2"/>
    <w:rsid w:val="005B68F7"/>
    <w:rsid w:val="005D1203"/>
    <w:rsid w:val="005E1233"/>
    <w:rsid w:val="00613BA9"/>
    <w:rsid w:val="0061767F"/>
    <w:rsid w:val="0064190C"/>
    <w:rsid w:val="00644E74"/>
    <w:rsid w:val="006571A7"/>
    <w:rsid w:val="00673E3A"/>
    <w:rsid w:val="00675A34"/>
    <w:rsid w:val="00695506"/>
    <w:rsid w:val="006A1ED9"/>
    <w:rsid w:val="006A5551"/>
    <w:rsid w:val="006B45DF"/>
    <w:rsid w:val="006D0C1A"/>
    <w:rsid w:val="006D37C3"/>
    <w:rsid w:val="006D588D"/>
    <w:rsid w:val="006E715E"/>
    <w:rsid w:val="00713B5B"/>
    <w:rsid w:val="00726A85"/>
    <w:rsid w:val="007435EB"/>
    <w:rsid w:val="007509CB"/>
    <w:rsid w:val="00771C78"/>
    <w:rsid w:val="007B3B3D"/>
    <w:rsid w:val="007C299C"/>
    <w:rsid w:val="007F25AB"/>
    <w:rsid w:val="00826110"/>
    <w:rsid w:val="008A4C85"/>
    <w:rsid w:val="008E52C2"/>
    <w:rsid w:val="00905F20"/>
    <w:rsid w:val="00916DCC"/>
    <w:rsid w:val="00951A9E"/>
    <w:rsid w:val="0096076A"/>
    <w:rsid w:val="009A24EF"/>
    <w:rsid w:val="009E67AA"/>
    <w:rsid w:val="00A05DB1"/>
    <w:rsid w:val="00A5049E"/>
    <w:rsid w:val="00A62402"/>
    <w:rsid w:val="00A62D6D"/>
    <w:rsid w:val="00A6416C"/>
    <w:rsid w:val="00AA6540"/>
    <w:rsid w:val="00AB39C0"/>
    <w:rsid w:val="00AF0D37"/>
    <w:rsid w:val="00B14FC3"/>
    <w:rsid w:val="00BC63FE"/>
    <w:rsid w:val="00BE0D2A"/>
    <w:rsid w:val="00BF27AF"/>
    <w:rsid w:val="00C15E06"/>
    <w:rsid w:val="00C32209"/>
    <w:rsid w:val="00C32D0F"/>
    <w:rsid w:val="00C42653"/>
    <w:rsid w:val="00C439EA"/>
    <w:rsid w:val="00C55BFD"/>
    <w:rsid w:val="00C821C6"/>
    <w:rsid w:val="00C96269"/>
    <w:rsid w:val="00CB753C"/>
    <w:rsid w:val="00CF4961"/>
    <w:rsid w:val="00D12534"/>
    <w:rsid w:val="00D33147"/>
    <w:rsid w:val="00D34675"/>
    <w:rsid w:val="00D52014"/>
    <w:rsid w:val="00D56269"/>
    <w:rsid w:val="00D7708A"/>
    <w:rsid w:val="00DB7359"/>
    <w:rsid w:val="00DC1BAE"/>
    <w:rsid w:val="00DE01C1"/>
    <w:rsid w:val="00DE79D9"/>
    <w:rsid w:val="00DF5C1F"/>
    <w:rsid w:val="00E30A6D"/>
    <w:rsid w:val="00E40B9B"/>
    <w:rsid w:val="00E45A45"/>
    <w:rsid w:val="00E555DC"/>
    <w:rsid w:val="00F13822"/>
    <w:rsid w:val="00F163CE"/>
    <w:rsid w:val="00F66B14"/>
    <w:rsid w:val="00F71E9D"/>
    <w:rsid w:val="00FA5FFD"/>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0E54153"/>
  <w14:defaultImageDpi w14:val="32767"/>
  <w15:chartTrackingRefBased/>
  <w15:docId w15:val="{88AE62D0-126B-48F3-8856-60F952F86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FE3"/>
    <w:rPr>
      <w:rFonts w:eastAsiaTheme="minorEastAsia"/>
    </w:rPr>
  </w:style>
  <w:style w:type="paragraph" w:styleId="Heading1">
    <w:name w:val="heading 1"/>
    <w:aliases w:val="SE Heading 1,Large body copy header"/>
    <w:basedOn w:val="Normal"/>
    <w:next w:val="Normal"/>
    <w:link w:val="Heading1Char"/>
    <w:autoRedefine/>
    <w:uiPriority w:val="9"/>
    <w:qFormat/>
    <w:rsid w:val="004951BA"/>
    <w:pPr>
      <w:keepNext/>
      <w:keepLines/>
      <w:spacing w:before="240"/>
      <w:outlineLvl w:val="0"/>
    </w:pPr>
    <w:rPr>
      <w:rFonts w:eastAsiaTheme="majorEastAsia" w:cstheme="majorBidi"/>
      <w:color w:val="00809F"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3A39B8"/>
    <w:pPr>
      <w:outlineLvl w:val="1"/>
    </w:pPr>
    <w:rPr>
      <w:b/>
      <w:color w:val="494949"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6E161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4951BA"/>
    <w:rPr>
      <w:color w:val="DA312A" w:themeColor="accent1"/>
      <w:sz w:val="56"/>
      <w:szCs w:val="48"/>
      <w:lang w:val="en-US"/>
    </w:rPr>
  </w:style>
  <w:style w:type="paragraph" w:customStyle="1" w:styleId="SESubheaderintropara">
    <w:name w:val="SE Subheader/intro para"/>
    <w:basedOn w:val="Normal"/>
    <w:qFormat/>
    <w:rsid w:val="004951BA"/>
    <w:pPr>
      <w:spacing w:before="120" w:after="120"/>
    </w:pPr>
    <w:rPr>
      <w:color w:val="00809F" w:themeColor="accent3"/>
      <w:sz w:val="32"/>
      <w:szCs w:val="32"/>
      <w:lang w:val="en-US"/>
    </w:rPr>
  </w:style>
  <w:style w:type="paragraph" w:customStyle="1" w:styleId="SEBodytext">
    <w:name w:val="SE Body text"/>
    <w:basedOn w:val="Normal"/>
    <w:qFormat/>
    <w:rsid w:val="00060A78"/>
    <w:rPr>
      <w:color w:val="494949" w:themeColor="text1"/>
      <w:sz w:val="22"/>
      <w:lang w:val="en-US"/>
    </w:rPr>
  </w:style>
  <w:style w:type="character" w:customStyle="1" w:styleId="Heading1Char">
    <w:name w:val="Heading 1 Char"/>
    <w:aliases w:val="SE Heading 1 Char,Large body copy header Char"/>
    <w:basedOn w:val="DefaultParagraphFont"/>
    <w:link w:val="Heading1"/>
    <w:uiPriority w:val="9"/>
    <w:rsid w:val="004951BA"/>
    <w:rPr>
      <w:rFonts w:eastAsiaTheme="majorEastAsia" w:cstheme="majorBidi"/>
      <w:color w:val="00809F"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3A39B8"/>
    <w:rPr>
      <w:rFonts w:eastAsiaTheme="majorEastAsia" w:cstheme="majorBidi"/>
      <w:b/>
      <w:color w:val="494949" w:themeColor="text1"/>
      <w:sz w:val="2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3A3A3"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3A3A3"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4951BA"/>
    <w:rPr>
      <w:color w:val="00809F" w:themeColor="accent3"/>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411C1F"/>
    <w:pPr>
      <w:spacing w:line="280" w:lineRule="exact"/>
    </w:pPr>
    <w:rPr>
      <w:color w:val="FFFFFF" w:themeColor="background1"/>
    </w:rPr>
  </w:style>
  <w:style w:type="paragraph" w:styleId="Footer">
    <w:name w:val="footer"/>
    <w:aliases w:val="SE Footer"/>
    <w:basedOn w:val="Normal"/>
    <w:link w:val="FooterChar"/>
    <w:autoRedefine/>
    <w:uiPriority w:val="99"/>
    <w:unhideWhenUsed/>
    <w:qFormat/>
    <w:rsid w:val="003E014B"/>
    <w:pPr>
      <w:tabs>
        <w:tab w:val="center" w:pos="4513"/>
        <w:tab w:val="right" w:pos="9026"/>
      </w:tabs>
    </w:pPr>
    <w:rPr>
      <w:color w:val="494949" w:themeColor="text1"/>
      <w:sz w:val="16"/>
    </w:rPr>
  </w:style>
  <w:style w:type="character" w:customStyle="1" w:styleId="FooterChar">
    <w:name w:val="Footer Char"/>
    <w:aliases w:val="SE Footer Char"/>
    <w:basedOn w:val="DefaultParagraphFont"/>
    <w:link w:val="Footer"/>
    <w:uiPriority w:val="99"/>
    <w:rsid w:val="003E014B"/>
    <w:rPr>
      <w:color w:val="494949"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insideV w:val="nil"/>
        </w:tcBorders>
        <w:shd w:val="clear" w:color="auto" w:fill="494949" w:themeFill="text1"/>
      </w:tcPr>
    </w:tblStylePr>
    <w:tblStylePr w:type="lastRow">
      <w:rPr>
        <w:b/>
        <w:bCs/>
      </w:rPr>
      <w:tblPr/>
      <w:tcPr>
        <w:tcBorders>
          <w:top w:val="double" w:sz="4" w:space="0" w:color="494949" w:themeColor="text1"/>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GridTable7Colourful">
    <w:name w:val="Grid Table 7 Colorful"/>
    <w:basedOn w:val="TableNormal"/>
    <w:uiPriority w:val="52"/>
    <w:rsid w:val="0064190C"/>
    <w:rPr>
      <w:color w:val="494949" w:themeColor="text1"/>
    </w:rPr>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insideV w:val="single" w:sz="4" w:space="0" w:color="919191"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DADA" w:themeFill="text1" w:themeFillTint="33"/>
      </w:tcPr>
    </w:tblStylePr>
    <w:tblStylePr w:type="band1Horz">
      <w:tblPr/>
      <w:tcPr>
        <w:shd w:val="clear" w:color="auto" w:fill="DADADA" w:themeFill="text1" w:themeFillTint="33"/>
      </w:tcPr>
    </w:tblStylePr>
    <w:tblStylePr w:type="neCell">
      <w:tblPr/>
      <w:tcPr>
        <w:tcBorders>
          <w:bottom w:val="single" w:sz="4" w:space="0" w:color="919191" w:themeColor="text1" w:themeTint="99"/>
        </w:tcBorders>
      </w:tcPr>
    </w:tblStylePr>
    <w:tblStylePr w:type="nwCell">
      <w:tblPr/>
      <w:tcPr>
        <w:tcBorders>
          <w:bottom w:val="single" w:sz="4" w:space="0" w:color="919191" w:themeColor="text1" w:themeTint="99"/>
        </w:tcBorders>
      </w:tcPr>
    </w:tblStylePr>
    <w:tblStylePr w:type="seCell">
      <w:tblPr/>
      <w:tcPr>
        <w:tcBorders>
          <w:top w:val="single" w:sz="4" w:space="0" w:color="919191" w:themeColor="text1" w:themeTint="99"/>
        </w:tcBorders>
      </w:tcPr>
    </w:tblStylePr>
    <w:tblStylePr w:type="swCell">
      <w:tblPr/>
      <w:tcPr>
        <w:tcBorders>
          <w:top w:val="single" w:sz="4" w:space="0" w:color="919191"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19191" w:themeColor="text1" w:themeTint="99"/>
        </w:tcBorders>
      </w:tcPr>
    </w:tblStylePr>
    <w:tblStylePr w:type="lastRow">
      <w:rPr>
        <w:b/>
        <w:bCs/>
      </w:rPr>
      <w:tblPr/>
      <w:tcPr>
        <w:tcBorders>
          <w:top w:val="sing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19191" w:themeColor="text1" w:themeTint="99"/>
        <w:bottom w:val="single" w:sz="4" w:space="0" w:color="919191" w:themeColor="text1" w:themeTint="99"/>
        <w:insideH w:val="single" w:sz="4" w:space="0" w:color="919191"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19191" w:themeColor="text1" w:themeTint="99"/>
        <w:bottom w:val="single" w:sz="2" w:space="0" w:color="919191" w:themeColor="text1" w:themeTint="99"/>
        <w:insideH w:val="single" w:sz="2" w:space="0" w:color="919191" w:themeColor="text1" w:themeTint="99"/>
        <w:insideV w:val="single" w:sz="2" w:space="0" w:color="919191" w:themeColor="text1" w:themeTint="99"/>
      </w:tblBorders>
    </w:tblPr>
    <w:tblStylePr w:type="firstRow">
      <w:rPr>
        <w:b/>
        <w:bCs/>
      </w:rPr>
      <w:tblPr/>
      <w:tcPr>
        <w:tcBorders>
          <w:top w:val="nil"/>
          <w:bottom w:val="single" w:sz="12" w:space="0" w:color="919191" w:themeColor="text1" w:themeTint="99"/>
          <w:insideH w:val="nil"/>
          <w:insideV w:val="nil"/>
        </w:tcBorders>
        <w:shd w:val="clear" w:color="auto" w:fill="FFFFFF" w:themeFill="background1"/>
      </w:tcPr>
    </w:tblStylePr>
    <w:tblStylePr w:type="lastRow">
      <w:rPr>
        <w:b/>
        <w:bCs/>
      </w:rPr>
      <w:tblPr/>
      <w:tcPr>
        <w:tcBorders>
          <w:top w:val="double" w:sz="2" w:space="0" w:color="919191"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A3A3"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A3A3"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A3A3"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A3A3"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6B6B6" w:themeColor="text1" w:themeTint="66"/>
        <w:left w:val="single" w:sz="4" w:space="0" w:color="B6B6B6" w:themeColor="text1" w:themeTint="66"/>
        <w:bottom w:val="single" w:sz="4" w:space="0" w:color="B6B6B6" w:themeColor="text1" w:themeTint="66"/>
        <w:right w:val="single" w:sz="4" w:space="0" w:color="B6B6B6" w:themeColor="text1" w:themeTint="66"/>
        <w:insideH w:val="single" w:sz="4" w:space="0" w:color="B6B6B6" w:themeColor="text1" w:themeTint="66"/>
        <w:insideV w:val="single" w:sz="4" w:space="0" w:color="B6B6B6" w:themeColor="text1" w:themeTint="66"/>
      </w:tblBorders>
    </w:tblPr>
    <w:tblStylePr w:type="firstRow">
      <w:rPr>
        <w:b/>
        <w:bCs/>
      </w:rPr>
      <w:tblPr/>
      <w:tcPr>
        <w:tcBorders>
          <w:bottom w:val="single" w:sz="12" w:space="0" w:color="919191" w:themeColor="text1" w:themeTint="99"/>
        </w:tcBorders>
      </w:tcPr>
    </w:tblStylePr>
    <w:tblStylePr w:type="lastRow">
      <w:rPr>
        <w:b/>
        <w:bCs/>
      </w:rPr>
      <w:tblPr/>
      <w:tcPr>
        <w:tcBorders>
          <w:top w:val="double" w:sz="2" w:space="0" w:color="919191"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F0ACA9" w:themeColor="accent1" w:themeTint="66"/>
        <w:left w:val="single" w:sz="4" w:space="0" w:color="F0ACA9" w:themeColor="accent1" w:themeTint="66"/>
        <w:bottom w:val="single" w:sz="4" w:space="0" w:color="F0ACA9" w:themeColor="accent1" w:themeTint="66"/>
        <w:right w:val="single" w:sz="4" w:space="0" w:color="F0ACA9" w:themeColor="accent1" w:themeTint="66"/>
        <w:insideH w:val="single" w:sz="4" w:space="0" w:color="F0ACA9" w:themeColor="accent1" w:themeTint="66"/>
        <w:insideV w:val="single" w:sz="4" w:space="0" w:color="F0ACA9" w:themeColor="accent1" w:themeTint="66"/>
      </w:tblBorders>
    </w:tblPr>
    <w:tblStylePr w:type="firstRow">
      <w:rPr>
        <w:b/>
        <w:bCs/>
      </w:rPr>
      <w:tblPr/>
      <w:tcPr>
        <w:tcBorders>
          <w:bottom w:val="single" w:sz="12" w:space="0" w:color="E8837F" w:themeColor="accent1" w:themeTint="99"/>
        </w:tcBorders>
      </w:tcPr>
    </w:tblStylePr>
    <w:tblStylePr w:type="lastRow">
      <w:rPr>
        <w:b/>
        <w:bCs/>
      </w:rPr>
      <w:tblPr/>
      <w:tcPr>
        <w:tcBorders>
          <w:top w:val="double" w:sz="2" w:space="0" w:color="E8837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57D7FF" w:themeColor="accent2" w:themeTint="66"/>
        <w:left w:val="single" w:sz="4" w:space="0" w:color="57D7FF" w:themeColor="accent2" w:themeTint="66"/>
        <w:bottom w:val="single" w:sz="4" w:space="0" w:color="57D7FF" w:themeColor="accent2" w:themeTint="66"/>
        <w:right w:val="single" w:sz="4" w:space="0" w:color="57D7FF" w:themeColor="accent2" w:themeTint="66"/>
        <w:insideH w:val="single" w:sz="4" w:space="0" w:color="57D7FF" w:themeColor="accent2" w:themeTint="66"/>
        <w:insideV w:val="single" w:sz="4" w:space="0" w:color="57D7FF" w:themeColor="accent2" w:themeTint="66"/>
      </w:tblBorders>
    </w:tblPr>
    <w:tblStylePr w:type="firstRow">
      <w:rPr>
        <w:b/>
        <w:bCs/>
      </w:rPr>
      <w:tblPr/>
      <w:tcPr>
        <w:tcBorders>
          <w:bottom w:val="single" w:sz="12" w:space="0" w:color="03C3FF" w:themeColor="accent2" w:themeTint="99"/>
        </w:tcBorders>
      </w:tcPr>
    </w:tblStylePr>
    <w:tblStylePr w:type="lastRow">
      <w:rPr>
        <w:b/>
        <w:bCs/>
      </w:rPr>
      <w:tblPr/>
      <w:tcPr>
        <w:tcBorders>
          <w:top w:val="double" w:sz="2" w:space="0" w:color="03C3FF"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03C3FF" w:themeColor="accent2" w:themeTint="99"/>
        <w:bottom w:val="single" w:sz="2" w:space="0" w:color="03C3FF" w:themeColor="accent2" w:themeTint="99"/>
        <w:insideH w:val="single" w:sz="2" w:space="0" w:color="03C3FF" w:themeColor="accent2" w:themeTint="99"/>
        <w:insideV w:val="single" w:sz="2" w:space="0" w:color="03C3FF" w:themeColor="accent2" w:themeTint="99"/>
      </w:tblBorders>
    </w:tblPr>
    <w:tblStylePr w:type="firstRow">
      <w:rPr>
        <w:b/>
        <w:bCs/>
      </w:rPr>
      <w:tblPr/>
      <w:tcPr>
        <w:tcBorders>
          <w:top w:val="nil"/>
          <w:bottom w:val="single" w:sz="12" w:space="0" w:color="03C3FF" w:themeColor="accent2" w:themeTint="99"/>
          <w:insideH w:val="nil"/>
          <w:insideV w:val="nil"/>
        </w:tcBorders>
        <w:shd w:val="clear" w:color="auto" w:fill="FFFFFF" w:themeFill="background1"/>
      </w:tcPr>
    </w:tblStylePr>
    <w:tblStylePr w:type="lastRow">
      <w:rPr>
        <w:b/>
        <w:bCs/>
      </w:rPr>
      <w:tblPr/>
      <w:tcPr>
        <w:tcBorders>
          <w:top w:val="double" w:sz="2" w:space="0" w:color="03C3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BEBFF" w:themeFill="accent2" w:themeFillTint="33"/>
      </w:tcPr>
    </w:tblStylePr>
    <w:tblStylePr w:type="band1Horz">
      <w:tblPr/>
      <w:tcPr>
        <w:shd w:val="clear" w:color="auto" w:fill="ABEBFF"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E05768" w:themeColor="accent5" w:themeTint="99"/>
        <w:bottom w:val="single" w:sz="2" w:space="0" w:color="E05768" w:themeColor="accent5" w:themeTint="99"/>
        <w:insideH w:val="single" w:sz="2" w:space="0" w:color="E05768" w:themeColor="accent5" w:themeTint="99"/>
        <w:insideV w:val="single" w:sz="2" w:space="0" w:color="E05768" w:themeColor="accent5" w:themeTint="99"/>
      </w:tblBorders>
    </w:tblPr>
    <w:tblStylePr w:type="firstRow">
      <w:rPr>
        <w:b/>
        <w:bCs/>
      </w:rPr>
      <w:tblPr/>
      <w:tcPr>
        <w:tcBorders>
          <w:top w:val="nil"/>
          <w:bottom w:val="single" w:sz="12" w:space="0" w:color="E05768" w:themeColor="accent5" w:themeTint="99"/>
          <w:insideH w:val="nil"/>
          <w:insideV w:val="nil"/>
        </w:tcBorders>
        <w:shd w:val="clear" w:color="auto" w:fill="FFFFFF" w:themeFill="background1"/>
      </w:tcPr>
    </w:tblStylePr>
    <w:tblStylePr w:type="lastRow">
      <w:rPr>
        <w:b/>
        <w:bCs/>
      </w:rPr>
      <w:tblPr/>
      <w:tcPr>
        <w:tcBorders>
          <w:top w:val="double" w:sz="2" w:space="0" w:color="E05768"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7CC" w:themeFill="accent5" w:themeFillTint="33"/>
      </w:tcPr>
    </w:tblStylePr>
    <w:tblStylePr w:type="band1Horz">
      <w:tblPr/>
      <w:tcPr>
        <w:shd w:val="clear" w:color="auto" w:fill="F4C7CC"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5D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A312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A312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A312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A312A" w:themeFill="accent1"/>
      </w:tcPr>
    </w:tblStylePr>
    <w:tblStylePr w:type="band1Vert">
      <w:tblPr/>
      <w:tcPr>
        <w:shd w:val="clear" w:color="auto" w:fill="F0ACA9" w:themeFill="accent1" w:themeFillTint="66"/>
      </w:tcPr>
    </w:tblStylePr>
    <w:tblStylePr w:type="band1Horz">
      <w:tblPr/>
      <w:tcPr>
        <w:shd w:val="clear" w:color="auto" w:fill="F0ACA9"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DADA"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4949"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4949"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4949"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4949" w:themeFill="text1"/>
      </w:tcPr>
    </w:tblStylePr>
    <w:tblStylePr w:type="band1Vert">
      <w:tblPr/>
      <w:tcPr>
        <w:shd w:val="clear" w:color="auto" w:fill="B6B6B6" w:themeFill="text1" w:themeFillTint="66"/>
      </w:tcPr>
    </w:tblStylePr>
    <w:tblStylePr w:type="band1Horz">
      <w:tblPr/>
      <w:tcPr>
        <w:shd w:val="clear" w:color="auto" w:fill="B6B6B6"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3A3A3" w:themeColor="text1" w:themeTint="80"/>
        <w:bottom w:val="single" w:sz="4" w:space="0" w:color="A3A3A3" w:themeColor="text1" w:themeTint="80"/>
      </w:tblBorders>
    </w:tblPr>
    <w:tblStylePr w:type="firstRow">
      <w:rPr>
        <w:b/>
        <w:bCs/>
      </w:rPr>
      <w:tblPr/>
      <w:tcPr>
        <w:tcBorders>
          <w:bottom w:val="single" w:sz="4" w:space="0" w:color="A3A3A3" w:themeColor="text1" w:themeTint="80"/>
        </w:tcBorders>
      </w:tcPr>
    </w:tblStylePr>
    <w:tblStylePr w:type="lastRow">
      <w:rPr>
        <w:b/>
        <w:bCs/>
      </w:rPr>
      <w:tblPr/>
      <w:tcPr>
        <w:tcBorders>
          <w:top w:val="single" w:sz="4" w:space="0" w:color="A3A3A3" w:themeColor="text1" w:themeTint="80"/>
        </w:tcBorders>
      </w:tcPr>
    </w:tblStylePr>
    <w:tblStylePr w:type="firstCol">
      <w:rPr>
        <w:b/>
        <w:bCs/>
      </w:rPr>
    </w:tblStylePr>
    <w:tblStylePr w:type="lastCol">
      <w:rPr>
        <w:b/>
        <w:bCs/>
      </w:rPr>
    </w:tblStylePr>
    <w:tblStylePr w:type="band1Vert">
      <w:tblPr/>
      <w:tcPr>
        <w:tcBorders>
          <w:left w:val="single" w:sz="4" w:space="0" w:color="A3A3A3" w:themeColor="text1" w:themeTint="80"/>
          <w:right w:val="single" w:sz="4" w:space="0" w:color="A3A3A3" w:themeColor="text1" w:themeTint="80"/>
        </w:tcBorders>
      </w:tcPr>
    </w:tblStylePr>
    <w:tblStylePr w:type="band2Vert">
      <w:tblPr/>
      <w:tcPr>
        <w:tcBorders>
          <w:left w:val="single" w:sz="4" w:space="0" w:color="A3A3A3" w:themeColor="text1" w:themeTint="80"/>
          <w:right w:val="single" w:sz="4" w:space="0" w:color="A3A3A3" w:themeColor="text1" w:themeTint="80"/>
        </w:tcBorders>
      </w:tcPr>
    </w:tblStylePr>
    <w:tblStylePr w:type="band1Horz">
      <w:tblPr/>
      <w:tcPr>
        <w:tcBorders>
          <w:top w:val="single" w:sz="4" w:space="0" w:color="A3A3A3" w:themeColor="text1" w:themeTint="80"/>
          <w:bottom w:val="single" w:sz="4" w:space="0" w:color="A3A3A3"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B2DEEE" w:themeColor="accent4" w:themeTint="99"/>
        <w:bottom w:val="single" w:sz="2" w:space="0" w:color="B2DEEE" w:themeColor="accent4" w:themeTint="99"/>
        <w:insideH w:val="single" w:sz="2" w:space="0" w:color="B2DEEE" w:themeColor="accent4" w:themeTint="99"/>
        <w:insideV w:val="single" w:sz="2" w:space="0" w:color="B2DEEE" w:themeColor="accent4" w:themeTint="99"/>
      </w:tblBorders>
    </w:tblPr>
    <w:tblStylePr w:type="firstRow">
      <w:rPr>
        <w:b/>
        <w:bCs/>
      </w:rPr>
      <w:tblPr/>
      <w:tcPr>
        <w:tcBorders>
          <w:top w:val="nil"/>
          <w:bottom w:val="single" w:sz="12" w:space="0" w:color="B2DEEE" w:themeColor="accent4" w:themeTint="99"/>
          <w:insideH w:val="nil"/>
          <w:insideV w:val="nil"/>
        </w:tcBorders>
        <w:shd w:val="clear" w:color="auto" w:fill="FFFFFF" w:themeFill="background1"/>
      </w:tcPr>
    </w:tblStylePr>
    <w:tblStylePr w:type="lastRow">
      <w:rPr>
        <w:b/>
        <w:bCs/>
      </w:rPr>
      <w:tblPr/>
      <w:tcPr>
        <w:tcBorders>
          <w:top w:val="double" w:sz="2" w:space="0" w:color="B2DE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4F9" w:themeFill="accent4" w:themeFillTint="33"/>
      </w:tcPr>
    </w:tblStylePr>
    <w:tblStylePr w:type="band1Horz">
      <w:tblPr/>
      <w:tcPr>
        <w:shd w:val="clear" w:color="auto" w:fill="E5F4F9"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B2DEEE" w:themeColor="accent4" w:themeTint="99"/>
        <w:left w:val="single" w:sz="4" w:space="0" w:color="B2DEEE" w:themeColor="accent4" w:themeTint="99"/>
        <w:bottom w:val="single" w:sz="4" w:space="0" w:color="B2DEEE" w:themeColor="accent4" w:themeTint="99"/>
        <w:right w:val="single" w:sz="4" w:space="0" w:color="B2DEEE" w:themeColor="accent4" w:themeTint="99"/>
        <w:insideH w:val="single" w:sz="4" w:space="0" w:color="B2DEEE" w:themeColor="accent4" w:themeTint="99"/>
        <w:insideV w:val="single" w:sz="4" w:space="0" w:color="B2DE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4F9" w:themeFill="accent4" w:themeFillTint="33"/>
      </w:tcPr>
    </w:tblStylePr>
    <w:tblStylePr w:type="band1Horz">
      <w:tblPr/>
      <w:tcPr>
        <w:shd w:val="clear" w:color="auto" w:fill="E5F4F9" w:themeFill="accent4" w:themeFillTint="33"/>
      </w:tcPr>
    </w:tblStylePr>
    <w:tblStylePr w:type="neCell">
      <w:tblPr/>
      <w:tcPr>
        <w:tcBorders>
          <w:bottom w:val="single" w:sz="4" w:space="0" w:color="B2DEEE" w:themeColor="accent4" w:themeTint="99"/>
        </w:tcBorders>
      </w:tcPr>
    </w:tblStylePr>
    <w:tblStylePr w:type="nwCell">
      <w:tblPr/>
      <w:tcPr>
        <w:tcBorders>
          <w:bottom w:val="single" w:sz="4" w:space="0" w:color="B2DEEE" w:themeColor="accent4" w:themeTint="99"/>
        </w:tcBorders>
      </w:tcPr>
    </w:tblStylePr>
    <w:tblStylePr w:type="seCell">
      <w:tblPr/>
      <w:tcPr>
        <w:tcBorders>
          <w:top w:val="single" w:sz="4" w:space="0" w:color="B2DEEE" w:themeColor="accent4" w:themeTint="99"/>
        </w:tcBorders>
      </w:tcPr>
    </w:tblStylePr>
    <w:tblStylePr w:type="swCell">
      <w:tblPr/>
      <w:tcPr>
        <w:tcBorders>
          <w:top w:val="single" w:sz="4" w:space="0" w:color="B2DEEE"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E05768" w:themeColor="accent5" w:themeTint="99"/>
        <w:left w:val="single" w:sz="4" w:space="0" w:color="E05768" w:themeColor="accent5" w:themeTint="99"/>
        <w:bottom w:val="single" w:sz="4" w:space="0" w:color="E05768" w:themeColor="accent5" w:themeTint="99"/>
        <w:right w:val="single" w:sz="4" w:space="0" w:color="E05768" w:themeColor="accent5" w:themeTint="99"/>
        <w:insideH w:val="single" w:sz="4" w:space="0" w:color="E05768" w:themeColor="accent5" w:themeTint="99"/>
        <w:insideV w:val="single" w:sz="4" w:space="0" w:color="E0576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C7CC" w:themeFill="accent5" w:themeFillTint="33"/>
      </w:tcPr>
    </w:tblStylePr>
    <w:tblStylePr w:type="band1Horz">
      <w:tblPr/>
      <w:tcPr>
        <w:shd w:val="clear" w:color="auto" w:fill="F4C7CC" w:themeFill="accent5" w:themeFillTint="33"/>
      </w:tcPr>
    </w:tblStylePr>
    <w:tblStylePr w:type="neCell">
      <w:tblPr/>
      <w:tcPr>
        <w:tcBorders>
          <w:bottom w:val="single" w:sz="4" w:space="0" w:color="E05768" w:themeColor="accent5" w:themeTint="99"/>
        </w:tcBorders>
      </w:tcPr>
    </w:tblStylePr>
    <w:tblStylePr w:type="nwCell">
      <w:tblPr/>
      <w:tcPr>
        <w:tcBorders>
          <w:bottom w:val="single" w:sz="4" w:space="0" w:color="E05768" w:themeColor="accent5" w:themeTint="99"/>
        </w:tcBorders>
      </w:tcPr>
    </w:tblStylePr>
    <w:tblStylePr w:type="seCell">
      <w:tblPr/>
      <w:tcPr>
        <w:tcBorders>
          <w:top w:val="single" w:sz="4" w:space="0" w:color="E05768" w:themeColor="accent5" w:themeTint="99"/>
        </w:tcBorders>
      </w:tcPr>
    </w:tblStylePr>
    <w:tblStylePr w:type="swCell">
      <w:tblPr/>
      <w:tcPr>
        <w:tcBorders>
          <w:top w:val="single" w:sz="4" w:space="0" w:color="E05768"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D2D2D1" w:themeColor="accent6" w:themeTint="99"/>
        <w:left w:val="single" w:sz="4" w:space="0" w:color="D2D2D1" w:themeColor="accent6" w:themeTint="99"/>
        <w:bottom w:val="single" w:sz="4" w:space="0" w:color="D2D2D1" w:themeColor="accent6" w:themeTint="99"/>
        <w:right w:val="single" w:sz="4" w:space="0" w:color="D2D2D1" w:themeColor="accent6" w:themeTint="99"/>
        <w:insideH w:val="single" w:sz="4" w:space="0" w:color="D2D2D1" w:themeColor="accent6" w:themeTint="99"/>
        <w:insideV w:val="single" w:sz="4" w:space="0" w:color="D2D2D1"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F0EF" w:themeFill="accent6" w:themeFillTint="33"/>
      </w:tcPr>
    </w:tblStylePr>
    <w:tblStylePr w:type="band1Horz">
      <w:tblPr/>
      <w:tcPr>
        <w:shd w:val="clear" w:color="auto" w:fill="F0F0EF" w:themeFill="accent6" w:themeFillTint="33"/>
      </w:tcPr>
    </w:tblStylePr>
    <w:tblStylePr w:type="neCell">
      <w:tblPr/>
      <w:tcPr>
        <w:tcBorders>
          <w:bottom w:val="single" w:sz="4" w:space="0" w:color="D2D2D1" w:themeColor="accent6" w:themeTint="99"/>
        </w:tcBorders>
      </w:tcPr>
    </w:tblStylePr>
    <w:tblStylePr w:type="nwCell">
      <w:tblPr/>
      <w:tcPr>
        <w:tcBorders>
          <w:bottom w:val="single" w:sz="4" w:space="0" w:color="D2D2D1" w:themeColor="accent6" w:themeTint="99"/>
        </w:tcBorders>
      </w:tcPr>
    </w:tblStylePr>
    <w:tblStylePr w:type="seCell">
      <w:tblPr/>
      <w:tcPr>
        <w:tcBorders>
          <w:top w:val="single" w:sz="4" w:space="0" w:color="D2D2D1" w:themeColor="accent6" w:themeTint="99"/>
        </w:tcBorders>
      </w:tcPr>
    </w:tblStylePr>
    <w:tblStylePr w:type="swCell">
      <w:tblPr/>
      <w:tcPr>
        <w:tcBorders>
          <w:top w:val="single" w:sz="4" w:space="0" w:color="D2D2D1"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E8837F" w:themeColor="accent1" w:themeTint="99"/>
        <w:left w:val="single" w:sz="4" w:space="0" w:color="E8837F" w:themeColor="accent1" w:themeTint="99"/>
        <w:bottom w:val="single" w:sz="4" w:space="0" w:color="E8837F" w:themeColor="accent1" w:themeTint="99"/>
        <w:right w:val="single" w:sz="4" w:space="0" w:color="E8837F" w:themeColor="accent1" w:themeTint="99"/>
        <w:insideH w:val="single" w:sz="4" w:space="0" w:color="E8837F" w:themeColor="accent1" w:themeTint="99"/>
        <w:insideV w:val="single" w:sz="4" w:space="0" w:color="E8837F" w:themeColor="accent1" w:themeTint="99"/>
      </w:tblBorders>
    </w:tblPr>
    <w:tblStylePr w:type="firstRow">
      <w:rPr>
        <w:b/>
        <w:bCs/>
        <w:color w:val="FFFFFF" w:themeColor="background1"/>
      </w:rPr>
      <w:tblPr/>
      <w:tcPr>
        <w:tcBorders>
          <w:top w:val="single" w:sz="4" w:space="0" w:color="DA312A" w:themeColor="accent1"/>
          <w:left w:val="single" w:sz="4" w:space="0" w:color="DA312A" w:themeColor="accent1"/>
          <w:bottom w:val="single" w:sz="4" w:space="0" w:color="DA312A" w:themeColor="accent1"/>
          <w:right w:val="single" w:sz="4" w:space="0" w:color="DA312A" w:themeColor="accent1"/>
          <w:insideH w:val="nil"/>
          <w:insideV w:val="nil"/>
        </w:tcBorders>
        <w:shd w:val="clear" w:color="auto" w:fill="DA312A" w:themeFill="accent1"/>
      </w:tcPr>
    </w:tblStylePr>
    <w:tblStylePr w:type="lastRow">
      <w:rPr>
        <w:b/>
        <w:bCs/>
      </w:rPr>
      <w:tblPr/>
      <w:tcPr>
        <w:tcBorders>
          <w:top w:val="double" w:sz="4" w:space="0" w:color="DA312A" w:themeColor="accent1"/>
        </w:tcBorders>
      </w:tcPr>
    </w:tblStylePr>
    <w:tblStylePr w:type="firstCol">
      <w:rPr>
        <w:b/>
        <w:bCs/>
      </w:rPr>
    </w:tblStylePr>
    <w:tblStylePr w:type="lastCol">
      <w:rPr>
        <w:b/>
        <w:bCs/>
      </w:rPr>
    </w:tblStylePr>
    <w:tblStylePr w:type="band1Vert">
      <w:tblPr/>
      <w:tcPr>
        <w:shd w:val="clear" w:color="auto" w:fill="F7D5D4" w:themeFill="accent1" w:themeFillTint="33"/>
      </w:tcPr>
    </w:tblStylePr>
    <w:tblStylePr w:type="band1Horz">
      <w:tblPr/>
      <w:tcPr>
        <w:shd w:val="clear" w:color="auto" w:fill="F7D5D4"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19191" w:themeColor="text1" w:themeTint="99"/>
        <w:left w:val="single" w:sz="4" w:space="0" w:color="919191" w:themeColor="text1" w:themeTint="99"/>
        <w:bottom w:val="single" w:sz="4" w:space="0" w:color="919191" w:themeColor="text1" w:themeTint="99"/>
        <w:right w:val="single" w:sz="4" w:space="0" w:color="919191" w:themeColor="text1" w:themeTint="99"/>
        <w:insideH w:val="single" w:sz="4" w:space="0" w:color="919191" w:themeColor="text1" w:themeTint="99"/>
      </w:tblBorders>
    </w:tblPr>
    <w:tblStylePr w:type="firstRow">
      <w:rPr>
        <w:b/>
        <w:bCs/>
        <w:color w:val="FFFFFF" w:themeColor="background1"/>
      </w:rPr>
      <w:tblPr/>
      <w:tcPr>
        <w:tcBorders>
          <w:top w:val="single" w:sz="4" w:space="0" w:color="494949" w:themeColor="text1"/>
          <w:left w:val="single" w:sz="4" w:space="0" w:color="494949" w:themeColor="text1"/>
          <w:bottom w:val="single" w:sz="4" w:space="0" w:color="494949" w:themeColor="text1"/>
          <w:right w:val="single" w:sz="4" w:space="0" w:color="494949" w:themeColor="text1"/>
          <w:insideH w:val="nil"/>
        </w:tcBorders>
        <w:shd w:val="clear" w:color="auto" w:fill="494949" w:themeFill="text1"/>
      </w:tcPr>
    </w:tblStylePr>
    <w:tblStylePr w:type="lastRow">
      <w:rPr>
        <w:b/>
        <w:bCs/>
      </w:rPr>
      <w:tblPr/>
      <w:tcPr>
        <w:tcBorders>
          <w:top w:val="double" w:sz="4" w:space="0" w:color="919191" w:themeColor="text1" w:themeTint="99"/>
        </w:tcBorders>
      </w:tcPr>
    </w:tblStylePr>
    <w:tblStylePr w:type="firstCol">
      <w:rPr>
        <w:b/>
        <w:bCs/>
      </w:rPr>
    </w:tblStylePr>
    <w:tblStylePr w:type="lastCol">
      <w:rPr>
        <w:b/>
        <w:bCs/>
      </w:rPr>
    </w:tblStylePr>
    <w:tblStylePr w:type="band1Vert">
      <w:tblPr/>
      <w:tcPr>
        <w:shd w:val="clear" w:color="auto" w:fill="DADADA" w:themeFill="text1" w:themeFillTint="33"/>
      </w:tcPr>
    </w:tblStylePr>
    <w:tblStylePr w:type="band1Horz">
      <w:tblPr/>
      <w:tcPr>
        <w:shd w:val="clear" w:color="auto" w:fill="DADADA"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494949" w:themeFill="text1"/>
      </w:tcPr>
    </w:tblStylePr>
    <w:tblStylePr w:type="band1Vert">
      <w:rPr>
        <w:color w:val="494949" w:themeColor="text1"/>
      </w:rPr>
    </w:tblStylePr>
    <w:tblStylePr w:type="band1Horz">
      <w:rPr>
        <w:rFonts w:ascii="Arial" w:hAnsi="Arial"/>
        <w:b w:val="0"/>
        <w:i w:val="0"/>
        <w:color w:val="494949" w:themeColor="text1"/>
        <w:sz w:val="20"/>
      </w:rPr>
      <w:tblPr/>
      <w:tcPr>
        <w:shd w:val="clear" w:color="auto" w:fill="FFFFFF"/>
      </w:tcPr>
    </w:tblStylePr>
    <w:tblStylePr w:type="band2Horz">
      <w:rPr>
        <w:rFonts w:ascii="Arial" w:hAnsi="Arial"/>
        <w:b w:val="0"/>
        <w:i w:val="0"/>
        <w:color w:val="494949"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6E1613" w:themeColor="accent1" w:themeShade="7F"/>
      <w:sz w:val="24"/>
    </w:rPr>
  </w:style>
  <w:style w:type="paragraph" w:customStyle="1" w:styleId="Default">
    <w:name w:val="Default"/>
    <w:rsid w:val="002009CC"/>
    <w:pPr>
      <w:autoSpaceDE w:val="0"/>
      <w:autoSpaceDN w:val="0"/>
      <w:adjustRightInd w:val="0"/>
    </w:pPr>
    <w:rPr>
      <w:rFonts w:ascii="Courier New" w:hAnsi="Courier New" w:cs="Courier New"/>
      <w:color w:val="000000"/>
      <w:sz w:val="24"/>
    </w:rPr>
  </w:style>
  <w:style w:type="paragraph" w:styleId="Header">
    <w:name w:val="header"/>
    <w:basedOn w:val="Normal"/>
    <w:link w:val="HeaderChar"/>
    <w:uiPriority w:val="99"/>
    <w:unhideWhenUsed/>
    <w:rsid w:val="002009CC"/>
    <w:pPr>
      <w:tabs>
        <w:tab w:val="center" w:pos="4513"/>
        <w:tab w:val="right" w:pos="9026"/>
      </w:tabs>
    </w:pPr>
  </w:style>
  <w:style w:type="character" w:customStyle="1" w:styleId="HeaderChar">
    <w:name w:val="Header Char"/>
    <w:basedOn w:val="DefaultParagraphFont"/>
    <w:link w:val="Header"/>
    <w:uiPriority w:val="99"/>
    <w:rsid w:val="002009CC"/>
  </w:style>
  <w:style w:type="paragraph" w:styleId="NoSpacing">
    <w:name w:val="No Spacing"/>
    <w:uiPriority w:val="1"/>
    <w:qFormat/>
    <w:rsid w:val="002009CC"/>
  </w:style>
  <w:style w:type="paragraph" w:styleId="ListParagraph">
    <w:name w:val="List Paragraph"/>
    <w:basedOn w:val="Normal"/>
    <w:uiPriority w:val="34"/>
    <w:qFormat/>
    <w:rsid w:val="002009CC"/>
    <w:pPr>
      <w:ind w:left="720"/>
      <w:contextualSpacing/>
    </w:pPr>
  </w:style>
  <w:style w:type="character" w:styleId="Hyperlink">
    <w:name w:val="Hyperlink"/>
    <w:basedOn w:val="DefaultParagraphFont"/>
    <w:uiPriority w:val="99"/>
    <w:unhideWhenUsed/>
    <w:rsid w:val="004951BA"/>
    <w:rPr>
      <w:b/>
      <w:color w:val="00809F" w:themeColor="accent3"/>
      <w:u w:val="none"/>
    </w:rPr>
  </w:style>
  <w:style w:type="character" w:styleId="CommentReference">
    <w:name w:val="annotation reference"/>
    <w:basedOn w:val="DefaultParagraphFont"/>
    <w:uiPriority w:val="99"/>
    <w:semiHidden/>
    <w:unhideWhenUsed/>
    <w:rsid w:val="00E30A6D"/>
    <w:rPr>
      <w:sz w:val="16"/>
      <w:szCs w:val="16"/>
    </w:rPr>
  </w:style>
  <w:style w:type="paragraph" w:styleId="CommentText">
    <w:name w:val="annotation text"/>
    <w:basedOn w:val="Normal"/>
    <w:link w:val="CommentTextChar"/>
    <w:uiPriority w:val="99"/>
    <w:semiHidden/>
    <w:unhideWhenUsed/>
    <w:rsid w:val="00E30A6D"/>
    <w:rPr>
      <w:sz w:val="20"/>
      <w:szCs w:val="20"/>
    </w:rPr>
  </w:style>
  <w:style w:type="character" w:customStyle="1" w:styleId="CommentTextChar">
    <w:name w:val="Comment Text Char"/>
    <w:basedOn w:val="DefaultParagraphFont"/>
    <w:link w:val="CommentText"/>
    <w:uiPriority w:val="99"/>
    <w:semiHidden/>
    <w:rsid w:val="00E30A6D"/>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E30A6D"/>
    <w:rPr>
      <w:b/>
      <w:bCs/>
    </w:rPr>
  </w:style>
  <w:style w:type="character" w:customStyle="1" w:styleId="CommentSubjectChar">
    <w:name w:val="Comment Subject Char"/>
    <w:basedOn w:val="CommentTextChar"/>
    <w:link w:val="CommentSubject"/>
    <w:uiPriority w:val="99"/>
    <w:semiHidden/>
    <w:rsid w:val="00E30A6D"/>
    <w:rPr>
      <w:rFonts w:eastAsiaTheme="minorEastAsia"/>
      <w:b/>
      <w:bCs/>
      <w:sz w:val="20"/>
      <w:szCs w:val="20"/>
    </w:rPr>
  </w:style>
  <w:style w:type="paragraph" w:styleId="BalloonText">
    <w:name w:val="Balloon Text"/>
    <w:basedOn w:val="Normal"/>
    <w:link w:val="BalloonTextChar"/>
    <w:uiPriority w:val="99"/>
    <w:semiHidden/>
    <w:unhideWhenUsed/>
    <w:rsid w:val="00E30A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A6D"/>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067759">
      <w:bodyDiv w:val="1"/>
      <w:marLeft w:val="0"/>
      <w:marRight w:val="0"/>
      <w:marTop w:val="0"/>
      <w:marBottom w:val="0"/>
      <w:divBdr>
        <w:top w:val="none" w:sz="0" w:space="0" w:color="auto"/>
        <w:left w:val="none" w:sz="0" w:space="0" w:color="auto"/>
        <w:bottom w:val="none" w:sz="0" w:space="0" w:color="auto"/>
        <w:right w:val="none" w:sz="0" w:space="0" w:color="auto"/>
      </w:divBdr>
      <w:divsChild>
        <w:div w:id="1125732224">
          <w:marLeft w:val="0"/>
          <w:marRight w:val="0"/>
          <w:marTop w:val="0"/>
          <w:marBottom w:val="0"/>
          <w:divBdr>
            <w:top w:val="none" w:sz="0" w:space="0" w:color="auto"/>
            <w:left w:val="none" w:sz="0" w:space="0" w:color="auto"/>
            <w:bottom w:val="none" w:sz="0" w:space="0" w:color="auto"/>
            <w:right w:val="none" w:sz="0" w:space="0" w:color="auto"/>
          </w:divBdr>
          <w:divsChild>
            <w:div w:id="212615988">
              <w:marLeft w:val="0"/>
              <w:marRight w:val="0"/>
              <w:marTop w:val="0"/>
              <w:marBottom w:val="0"/>
              <w:divBdr>
                <w:top w:val="none" w:sz="0" w:space="0" w:color="auto"/>
                <w:left w:val="none" w:sz="0" w:space="0" w:color="auto"/>
                <w:bottom w:val="none" w:sz="0" w:space="0" w:color="auto"/>
                <w:right w:val="none" w:sz="0" w:space="0" w:color="auto"/>
              </w:divBdr>
            </w:div>
          </w:divsChild>
        </w:div>
        <w:div w:id="11227106">
          <w:marLeft w:val="0"/>
          <w:marRight w:val="0"/>
          <w:marTop w:val="0"/>
          <w:marBottom w:val="0"/>
          <w:divBdr>
            <w:top w:val="none" w:sz="0" w:space="0" w:color="auto"/>
            <w:left w:val="none" w:sz="0" w:space="0" w:color="auto"/>
            <w:bottom w:val="none" w:sz="0" w:space="0" w:color="auto"/>
            <w:right w:val="none" w:sz="0" w:space="0" w:color="auto"/>
          </w:divBdr>
          <w:divsChild>
            <w:div w:id="2139757266">
              <w:marLeft w:val="0"/>
              <w:marRight w:val="0"/>
              <w:marTop w:val="0"/>
              <w:marBottom w:val="0"/>
              <w:divBdr>
                <w:top w:val="none" w:sz="0" w:space="0" w:color="auto"/>
                <w:left w:val="none" w:sz="0" w:space="0" w:color="auto"/>
                <w:bottom w:val="none" w:sz="0" w:space="0" w:color="auto"/>
                <w:right w:val="none" w:sz="0" w:space="0" w:color="auto"/>
              </w:divBdr>
            </w:div>
          </w:divsChild>
        </w:div>
        <w:div w:id="1940672960">
          <w:marLeft w:val="0"/>
          <w:marRight w:val="0"/>
          <w:marTop w:val="0"/>
          <w:marBottom w:val="0"/>
          <w:divBdr>
            <w:top w:val="none" w:sz="0" w:space="0" w:color="auto"/>
            <w:left w:val="none" w:sz="0" w:space="0" w:color="auto"/>
            <w:bottom w:val="none" w:sz="0" w:space="0" w:color="auto"/>
            <w:right w:val="none" w:sz="0" w:space="0" w:color="auto"/>
          </w:divBdr>
          <w:divsChild>
            <w:div w:id="1044134295">
              <w:marLeft w:val="0"/>
              <w:marRight w:val="0"/>
              <w:marTop w:val="0"/>
              <w:marBottom w:val="0"/>
              <w:divBdr>
                <w:top w:val="none" w:sz="0" w:space="0" w:color="auto"/>
                <w:left w:val="none" w:sz="0" w:space="0" w:color="auto"/>
                <w:bottom w:val="none" w:sz="0" w:space="0" w:color="auto"/>
                <w:right w:val="none" w:sz="0" w:space="0" w:color="auto"/>
              </w:divBdr>
            </w:div>
          </w:divsChild>
        </w:div>
        <w:div w:id="1981382468">
          <w:marLeft w:val="0"/>
          <w:marRight w:val="0"/>
          <w:marTop w:val="0"/>
          <w:marBottom w:val="0"/>
          <w:divBdr>
            <w:top w:val="none" w:sz="0" w:space="0" w:color="auto"/>
            <w:left w:val="none" w:sz="0" w:space="0" w:color="auto"/>
            <w:bottom w:val="none" w:sz="0" w:space="0" w:color="auto"/>
            <w:right w:val="none" w:sz="0" w:space="0" w:color="auto"/>
          </w:divBdr>
          <w:divsChild>
            <w:div w:id="138818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imm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rdg\Documents\Custom%20Office%20Templates\SE%20Document%20Template.dotx" TargetMode="External"/></Relationships>
</file>

<file path=word/theme/theme1.xml><?xml version="1.0" encoding="utf-8"?>
<a:theme xmlns:a="http://schemas.openxmlformats.org/drawingml/2006/main" name="Office Theme">
  <a:themeElements>
    <a:clrScheme name="Swim England corporate">
      <a:dk1>
        <a:srgbClr val="494949"/>
      </a:dk1>
      <a:lt1>
        <a:srgbClr val="FFFFFF"/>
      </a:lt1>
      <a:dk2>
        <a:srgbClr val="494949"/>
      </a:dk2>
      <a:lt2>
        <a:srgbClr val="E7E6E6"/>
      </a:lt2>
      <a:accent1>
        <a:srgbClr val="DA312A"/>
      </a:accent1>
      <a:accent2>
        <a:srgbClr val="00455A"/>
      </a:accent2>
      <a:accent3>
        <a:srgbClr val="00809F"/>
      </a:accent3>
      <a:accent4>
        <a:srgbClr val="7FC9E4"/>
      </a:accent4>
      <a:accent5>
        <a:srgbClr val="991C2C"/>
      </a:accent5>
      <a:accent6>
        <a:srgbClr val="B4B4B3"/>
      </a:accent6>
      <a:hlink>
        <a:srgbClr val="00809F"/>
      </a:hlink>
      <a:folHlink>
        <a:srgbClr val="B4B4B3"/>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F35B120-487E-4ADE-B00C-A25DF2C4D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 Document Template</Template>
  <TotalTime>9</TotalTime>
  <Pages>4</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Guy Ward</cp:lastModifiedBy>
  <cp:revision>2</cp:revision>
  <cp:lastPrinted>2017-03-27T15:21:00Z</cp:lastPrinted>
  <dcterms:created xsi:type="dcterms:W3CDTF">2024-09-02T15:14:00Z</dcterms:created>
  <dcterms:modified xsi:type="dcterms:W3CDTF">2024-09-02T15:14:00Z</dcterms:modified>
</cp:coreProperties>
</file>